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06C33" w14:textId="77777777" w:rsidR="007D1312" w:rsidRPr="00B304E9" w:rsidRDefault="007D1312" w:rsidP="007D1312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5F139EDE" w14:textId="77777777" w:rsidR="007D1312" w:rsidRDefault="007D1312" w:rsidP="007D131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EC28949" w14:textId="77777777" w:rsidR="007D1312" w:rsidRDefault="007D1312" w:rsidP="007D131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81978CE" w14:textId="77777777" w:rsidR="007D1312" w:rsidRPr="003756C2" w:rsidRDefault="007D1312" w:rsidP="007D1312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SPECIFICKÁ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643C5505" w14:textId="77777777" w:rsidR="007D1312" w:rsidRPr="00B87595" w:rsidRDefault="007D1312" w:rsidP="007D1312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9A0D1E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14:paraId="79968704" w14:textId="77777777" w:rsidR="007D1312" w:rsidRDefault="007D1312" w:rsidP="007D1312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</w:p>
    <w:p w14:paraId="1EC69B5E" w14:textId="77777777" w:rsidR="007D1312" w:rsidRPr="00016FC5" w:rsidRDefault="007D1312" w:rsidP="007D1312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016FC5">
        <w:rPr>
          <w:rFonts w:asciiTheme="majorHAnsi" w:hAnsiTheme="majorHAnsi" w:cs="MyriadPro-Black"/>
          <w:caps/>
          <w:color w:val="A6A6A6"/>
          <w:sz w:val="40"/>
          <w:szCs w:val="40"/>
        </w:rPr>
        <w:t>SPECIFICKÝ CÍL 4</w:t>
      </w:r>
      <w:r w:rsidR="00016FC5" w:rsidRPr="00016FC5">
        <w:rPr>
          <w:rFonts w:asciiTheme="majorHAnsi" w:hAnsiTheme="majorHAnsi" w:cs="MyriadPro-Black"/>
          <w:caps/>
          <w:color w:val="A6A6A6"/>
          <w:sz w:val="40"/>
          <w:szCs w:val="40"/>
        </w:rPr>
        <w:t>.1</w:t>
      </w:r>
    </w:p>
    <w:p w14:paraId="444322D1" w14:textId="77777777" w:rsidR="007D1312" w:rsidRDefault="007D1312" w:rsidP="007D131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016FC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 w:rsidR="00016FC5" w:rsidRPr="00016FC5">
        <w:rPr>
          <w:rFonts w:asciiTheme="majorHAnsi" w:hAnsiTheme="majorHAnsi" w:cs="MyriadPro-Black"/>
          <w:caps/>
          <w:color w:val="A6A6A6"/>
          <w:sz w:val="40"/>
          <w:szCs w:val="40"/>
        </w:rPr>
        <w:t>68</w:t>
      </w:r>
    </w:p>
    <w:p w14:paraId="5E9B7235" w14:textId="77777777" w:rsidR="007D1312" w:rsidRDefault="007D1312" w:rsidP="007D1312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0C7943A2" w14:textId="77777777" w:rsidR="007D1312" w:rsidRPr="00931A63" w:rsidRDefault="007D1312" w:rsidP="007D1312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>PŘÍLOHA Č. 5b</w:t>
      </w:r>
    </w:p>
    <w:p w14:paraId="2324524E" w14:textId="77777777" w:rsidR="007D1312" w:rsidRDefault="007D1312" w:rsidP="007D1312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43763382" w14:textId="77777777" w:rsidR="007D1312" w:rsidRDefault="007D1312" w:rsidP="007D1312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seznam </w:t>
      </w:r>
      <w:r w:rsidRPr="001472A0">
        <w:rPr>
          <w:rFonts w:asciiTheme="majorHAnsi" w:hAnsiTheme="majorHAnsi" w:cs="MyriadPro-Black"/>
          <w:b/>
          <w:caps/>
          <w:sz w:val="46"/>
          <w:szCs w:val="40"/>
        </w:rPr>
        <w:t xml:space="preserve">správních obvodů </w:t>
      </w:r>
      <w:r>
        <w:rPr>
          <w:rFonts w:asciiTheme="majorHAnsi" w:hAnsiTheme="majorHAnsi" w:cs="MyriadPro-Black"/>
          <w:b/>
          <w:caps/>
          <w:sz w:val="46"/>
          <w:szCs w:val="40"/>
        </w:rPr>
        <w:t>obcí s rozšířenou působností bez sociálně vyloučených lokalit</w:t>
      </w:r>
    </w:p>
    <w:p w14:paraId="28A2CC68" w14:textId="77777777" w:rsidR="007D1312" w:rsidRDefault="007D1312" w:rsidP="007D1312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088884E1" w14:textId="77777777" w:rsidR="007D1312" w:rsidRDefault="007D1312" w:rsidP="007D1312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785E7012" w14:textId="77777777" w:rsidR="007D1312" w:rsidRDefault="007D1312" w:rsidP="007D1312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59FE558E" w14:textId="7DDF332A" w:rsidR="007D1312" w:rsidRDefault="007D1312" w:rsidP="007D1312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 w:rsidRPr="00526FB6"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D23C75">
        <w:rPr>
          <w:rFonts w:asciiTheme="majorHAnsi" w:hAnsiTheme="majorHAnsi" w:cs="MyriadPro-Black"/>
          <w:caps/>
          <w:sz w:val="32"/>
          <w:szCs w:val="40"/>
        </w:rPr>
        <w:t>3</w:t>
      </w:r>
      <w:r w:rsidR="00016FC5" w:rsidRPr="00526FB6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D23C75">
        <w:rPr>
          <w:rFonts w:asciiTheme="majorHAnsi" w:hAnsiTheme="majorHAnsi" w:cs="MyriadPro-Black"/>
          <w:caps/>
          <w:sz w:val="32"/>
          <w:szCs w:val="40"/>
        </w:rPr>
        <w:t>5</w:t>
      </w:r>
      <w:r w:rsidR="00016FC5" w:rsidRPr="00526FB6">
        <w:rPr>
          <w:rFonts w:asciiTheme="majorHAnsi" w:hAnsiTheme="majorHAnsi" w:cs="MyriadPro-Black"/>
          <w:caps/>
          <w:sz w:val="32"/>
          <w:szCs w:val="40"/>
        </w:rPr>
        <w:t>. 201</w:t>
      </w:r>
      <w:r w:rsidR="002E7F78">
        <w:rPr>
          <w:rFonts w:asciiTheme="majorHAnsi" w:hAnsiTheme="majorHAnsi" w:cs="MyriadPro-Black"/>
          <w:caps/>
          <w:sz w:val="32"/>
          <w:szCs w:val="40"/>
        </w:rPr>
        <w:t>8</w:t>
      </w:r>
    </w:p>
    <w:p w14:paraId="0D24FB89" w14:textId="77777777" w:rsidR="007D1312" w:rsidRDefault="007D1312" w:rsidP="00FF5E5B">
      <w:pPr>
        <w:jc w:val="center"/>
        <w:rPr>
          <w:rFonts w:asciiTheme="majorHAnsi" w:hAnsiTheme="majorHAnsi" w:cs="Arial"/>
          <w:b/>
          <w:u w:val="single"/>
        </w:rPr>
      </w:pPr>
    </w:p>
    <w:p w14:paraId="5ED26D2A" w14:textId="77777777" w:rsidR="00DE37B6" w:rsidRDefault="00DE37B6" w:rsidP="00FF5E5B">
      <w:pPr>
        <w:jc w:val="center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 xml:space="preserve">Seznam správních obvodů obcí </w:t>
      </w:r>
      <w:r w:rsidR="00FF5E5B" w:rsidRPr="00885A5C">
        <w:rPr>
          <w:rFonts w:asciiTheme="majorHAnsi" w:hAnsiTheme="majorHAnsi" w:cs="Arial"/>
          <w:b/>
          <w:u w:val="single"/>
        </w:rPr>
        <w:t xml:space="preserve">s rozšířenou působností </w:t>
      </w:r>
    </w:p>
    <w:p w14:paraId="49B2DF84" w14:textId="77777777" w:rsidR="00FF5E5B" w:rsidRPr="00885A5C" w:rsidRDefault="00025C43" w:rsidP="00FF5E5B">
      <w:pPr>
        <w:jc w:val="center"/>
        <w:rPr>
          <w:rFonts w:asciiTheme="majorHAnsi" w:hAnsiTheme="majorHAnsi" w:cs="Arial"/>
          <w:b/>
          <w:u w:val="single"/>
        </w:rPr>
      </w:pPr>
      <w:r w:rsidRPr="00885A5C">
        <w:rPr>
          <w:rFonts w:asciiTheme="majorHAnsi" w:hAnsiTheme="majorHAnsi" w:cs="Arial"/>
          <w:b/>
          <w:u w:val="single"/>
        </w:rPr>
        <w:t>bez</w:t>
      </w:r>
      <w:r w:rsidR="00FF5E5B" w:rsidRPr="00885A5C">
        <w:rPr>
          <w:rFonts w:asciiTheme="majorHAnsi" w:hAnsiTheme="majorHAnsi" w:cs="Arial"/>
          <w:b/>
          <w:u w:val="single"/>
        </w:rPr>
        <w:t xml:space="preserve"> sociálně vyloučený</w:t>
      </w:r>
      <w:r w:rsidRPr="00885A5C">
        <w:rPr>
          <w:rFonts w:asciiTheme="majorHAnsi" w:hAnsiTheme="majorHAnsi" w:cs="Arial"/>
          <w:b/>
          <w:u w:val="single"/>
        </w:rPr>
        <w:t>ch</w:t>
      </w:r>
      <w:r w:rsidR="00FF5E5B" w:rsidRPr="00885A5C">
        <w:rPr>
          <w:rFonts w:asciiTheme="majorHAnsi" w:hAnsiTheme="majorHAnsi" w:cs="Arial"/>
          <w:b/>
          <w:u w:val="single"/>
        </w:rPr>
        <w:t xml:space="preserve"> lokalit</w:t>
      </w:r>
    </w:p>
    <w:p w14:paraId="6E359D12" w14:textId="77777777" w:rsidR="00F45C86" w:rsidRDefault="00F45C86" w:rsidP="00527D85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19D7BEBE" w14:textId="77777777" w:rsidR="00F45C86" w:rsidRDefault="00F45C86" w:rsidP="00527D85">
      <w:pPr>
        <w:rPr>
          <w:rFonts w:asciiTheme="majorHAnsi" w:hAnsiTheme="majorHAnsi"/>
          <w:b/>
          <w:color w:val="000000"/>
          <w:sz w:val="22"/>
          <w:szCs w:val="22"/>
        </w:rPr>
        <w:sectPr w:rsidR="00F45C8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2473"/>
        <w:gridCol w:w="2622"/>
        <w:gridCol w:w="2077"/>
      </w:tblGrid>
      <w:tr w:rsidR="00FF5E5B" w:rsidRPr="0096357A" w14:paraId="029707A9" w14:textId="77777777" w:rsidTr="00025C43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D349A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Benešov</w:t>
            </w:r>
          </w:p>
          <w:p w14:paraId="6997A68C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Beroun </w:t>
            </w:r>
          </w:p>
          <w:p w14:paraId="79DD484F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Bílovec</w:t>
            </w:r>
          </w:p>
          <w:p w14:paraId="392BFDC7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Blatná</w:t>
            </w:r>
          </w:p>
          <w:p w14:paraId="67B39787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Blovice</w:t>
            </w:r>
          </w:p>
          <w:p w14:paraId="6FC906E2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Boskovice</w:t>
            </w:r>
          </w:p>
          <w:p w14:paraId="0E19FB13" w14:textId="77777777" w:rsidR="00F45C86" w:rsidRPr="00885A5C" w:rsidRDefault="00F45C86" w:rsidP="00F45C86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Brandýs nad Labem</w:t>
            </w: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 - </w:t>
            </w: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Stará Boleslav</w:t>
            </w:r>
          </w:p>
          <w:p w14:paraId="15C1BBD5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Bystřice nad Pernštejnem</w:t>
            </w:r>
          </w:p>
          <w:p w14:paraId="444F8922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Český Brod</w:t>
            </w:r>
          </w:p>
          <w:p w14:paraId="3A4CC461" w14:textId="77777777" w:rsidR="00F45C86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Český Těšín</w:t>
            </w:r>
          </w:p>
          <w:p w14:paraId="2E168DB6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Dačice</w:t>
            </w:r>
          </w:p>
          <w:p w14:paraId="32475C1B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Dobříš</w:t>
            </w:r>
          </w:p>
          <w:p w14:paraId="76A53B3E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Dvůr Králové</w:t>
            </w: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 nad Labem</w:t>
            </w:r>
          </w:p>
          <w:p w14:paraId="3BDEA5A5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Frýdlant nad Ostravicí</w:t>
            </w:r>
          </w:p>
          <w:p w14:paraId="678588F9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Hlinsko</w:t>
            </w:r>
          </w:p>
          <w:p w14:paraId="08E4B717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Hlučín</w:t>
            </w:r>
          </w:p>
          <w:p w14:paraId="49509FC8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Holice</w:t>
            </w:r>
          </w:p>
          <w:p w14:paraId="350E9EDD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Hustopeče</w:t>
            </w:r>
          </w:p>
          <w:p w14:paraId="0CF14AA5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Ivančice</w:t>
            </w:r>
          </w:p>
          <w:p w14:paraId="1FC964ED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Jablunkov</w:t>
            </w:r>
          </w:p>
          <w:p w14:paraId="0C31886E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Jilemnice</w:t>
            </w:r>
          </w:p>
          <w:p w14:paraId="634B9D81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Králíky</w:t>
            </w:r>
          </w:p>
          <w:p w14:paraId="66E64AE2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Kralovice</w:t>
            </w:r>
          </w:p>
          <w:p w14:paraId="2BD3A4F5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Kravaře</w:t>
            </w:r>
          </w:p>
          <w:p w14:paraId="716C1136" w14:textId="77777777" w:rsidR="00F45C86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Kuřim</w:t>
            </w:r>
          </w:p>
          <w:p w14:paraId="59DD2606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Kyjov</w:t>
            </w:r>
          </w:p>
          <w:p w14:paraId="1408931E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Litomyšl</w:t>
            </w:r>
          </w:p>
          <w:p w14:paraId="28009EB2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Litovel</w:t>
            </w:r>
          </w:p>
          <w:p w14:paraId="3AD4E05E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Luhačovice</w:t>
            </w:r>
          </w:p>
          <w:p w14:paraId="13B0377D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Mikulov</w:t>
            </w:r>
          </w:p>
          <w:p w14:paraId="6A4D78DF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Mohelnice</w:t>
            </w:r>
          </w:p>
          <w:p w14:paraId="3922E146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Moravský Krumlov</w:t>
            </w:r>
          </w:p>
          <w:p w14:paraId="0A29013E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Náměšť nad Oslavou</w:t>
            </w:r>
          </w:p>
          <w:p w14:paraId="62214D96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Nepomuk</w:t>
            </w:r>
          </w:p>
          <w:p w14:paraId="32AA57D3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Nová Paka</w:t>
            </w:r>
          </w:p>
          <w:p w14:paraId="4BF7F572" w14:textId="77777777" w:rsidR="00F45C86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Nové </w:t>
            </w: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</w:t>
            </w: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ěsto na </w:t>
            </w: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</w:t>
            </w: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oravě</w:t>
            </w:r>
          </w:p>
          <w:p w14:paraId="028FEE4F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Nové město nad Metují</w:t>
            </w:r>
          </w:p>
          <w:p w14:paraId="66B602A5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Pacov</w:t>
            </w:r>
          </w:p>
          <w:p w14:paraId="6F906BC0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Pohořelice</w:t>
            </w:r>
          </w:p>
          <w:p w14:paraId="1282A69B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Polička</w:t>
            </w:r>
          </w:p>
          <w:p w14:paraId="393E338B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Přelouč</w:t>
            </w:r>
          </w:p>
          <w:p w14:paraId="224C2DEB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Rakovník</w:t>
            </w:r>
          </w:p>
          <w:p w14:paraId="5F8A62B7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Říčany</w:t>
            </w:r>
          </w:p>
          <w:p w14:paraId="5AF9F838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Sedlčany</w:t>
            </w:r>
          </w:p>
          <w:p w14:paraId="42B47235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Slavkov u Brna</w:t>
            </w:r>
          </w:p>
          <w:p w14:paraId="1F8E2A61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Soběslav</w:t>
            </w:r>
          </w:p>
          <w:p w14:paraId="2BFC9DE3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Sušice</w:t>
            </w:r>
          </w:p>
          <w:p w14:paraId="1541CE5B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Světlá nad Sázavou</w:t>
            </w:r>
          </w:p>
          <w:p w14:paraId="18963813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Šlapanice</w:t>
            </w:r>
          </w:p>
          <w:p w14:paraId="55F20186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Trhové Sviny</w:t>
            </w:r>
          </w:p>
          <w:p w14:paraId="40315C9A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</w:t>
            </w: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urnov</w:t>
            </w:r>
          </w:p>
          <w:p w14:paraId="40BA6181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Týn nad Vltavou</w:t>
            </w:r>
          </w:p>
          <w:p w14:paraId="493B585F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Velké Meziříčí</w:t>
            </w:r>
          </w:p>
          <w:p w14:paraId="04BA0B6F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Vizovice</w:t>
            </w:r>
          </w:p>
          <w:p w14:paraId="70554969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Vlašim</w:t>
            </w:r>
          </w:p>
          <w:p w14:paraId="12EE21CE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Vodňany</w:t>
            </w:r>
          </w:p>
          <w:p w14:paraId="54939B99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Votice</w:t>
            </w:r>
          </w:p>
          <w:p w14:paraId="3DC52C86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Vrchlabí</w:t>
            </w:r>
          </w:p>
          <w:p w14:paraId="5049F8C1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Žamberk</w:t>
            </w:r>
          </w:p>
          <w:p w14:paraId="40D8E96B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Ž</w:t>
            </w: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elezný </w:t>
            </w: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B</w:t>
            </w: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rod</w:t>
            </w:r>
          </w:p>
          <w:p w14:paraId="5C7F7786" w14:textId="77777777" w:rsidR="007D00D7" w:rsidRDefault="007D00D7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  <w:p w14:paraId="21193EBA" w14:textId="77777777" w:rsidR="007206B1" w:rsidRDefault="007206B1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  <w:p w14:paraId="60882063" w14:textId="77777777" w:rsidR="00025C43" w:rsidRPr="0096357A" w:rsidRDefault="00025C43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F665B" w14:textId="77777777" w:rsidR="00FF5E5B" w:rsidRPr="0096357A" w:rsidRDefault="00FF5E5B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69C95" w14:textId="77777777" w:rsidR="00FF5E5B" w:rsidRPr="0096357A" w:rsidRDefault="00FF5E5B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CCB6" w14:textId="77777777" w:rsidR="00FF5E5B" w:rsidRPr="0096357A" w:rsidRDefault="00FF5E5B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</w:tbl>
    <w:p w14:paraId="770D91F1" w14:textId="77777777" w:rsidR="00F45C86" w:rsidRDefault="00F45C86" w:rsidP="00527D85">
      <w:pPr>
        <w:rPr>
          <w:rFonts w:asciiTheme="majorHAnsi" w:hAnsiTheme="majorHAnsi"/>
          <w:b/>
          <w:color w:val="000000"/>
          <w:sz w:val="22"/>
          <w:szCs w:val="22"/>
        </w:rPr>
        <w:sectPr w:rsidR="00F45C86" w:rsidSect="00F45C8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EA4C98E" w14:textId="77777777" w:rsidR="00FF5E5B" w:rsidRPr="00186898" w:rsidRDefault="00FF5E5B" w:rsidP="00FF5E5B">
      <w:pPr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72D538DB" w14:textId="248B69EB" w:rsidR="00A61BC2" w:rsidRPr="00F91964" w:rsidRDefault="00FF5E5B" w:rsidP="00FF5E5B">
      <w:pPr>
        <w:jc w:val="both"/>
        <w:rPr>
          <w:rFonts w:asciiTheme="majorHAnsi" w:hAnsiTheme="majorHAnsi" w:cs="Arial"/>
          <w:i/>
          <w:sz w:val="18"/>
          <w:szCs w:val="18"/>
          <w:u w:val="single"/>
        </w:rPr>
      </w:pPr>
      <w:r w:rsidRPr="00F91964">
        <w:rPr>
          <w:rFonts w:asciiTheme="majorHAnsi" w:hAnsiTheme="majorHAnsi" w:cs="Arial"/>
          <w:i/>
          <w:sz w:val="18"/>
          <w:szCs w:val="18"/>
          <w:u w:val="single"/>
        </w:rPr>
        <w:t>Zdroj: Analýza sociálně vyloučených lokalit v ČR, MPSV 2015</w:t>
      </w:r>
      <w:bookmarkStart w:id="0" w:name="_GoBack"/>
      <w:bookmarkEnd w:id="0"/>
    </w:p>
    <w:p w14:paraId="78F31574" w14:textId="77777777" w:rsidR="0096357A" w:rsidRDefault="0096357A" w:rsidP="00FF5E5B">
      <w:pPr>
        <w:jc w:val="both"/>
        <w:rPr>
          <w:rFonts w:ascii="Arial" w:hAnsi="Arial" w:cs="Arial"/>
          <w:b/>
          <w:u w:val="single"/>
        </w:rPr>
      </w:pPr>
    </w:p>
    <w:p w14:paraId="208AF290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0D8835B0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3D805D55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008948CB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2DBA4F17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5F78F9CD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3F1407A6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7E76491D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1ADFC743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15EC1435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1CCFF7F1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7167A559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303F4E81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inline distT="0" distB="0" distL="0" distR="0" wp14:anchorId="07B3786B" wp14:editId="0B1F5447">
            <wp:extent cx="5760720" cy="75336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_vylouc_lok_2015_UPRA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E8E" w:rsidSect="00F45C8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32AD3" w14:textId="77777777" w:rsidR="00232320" w:rsidRDefault="00232320" w:rsidP="00634381">
      <w:r>
        <w:separator/>
      </w:r>
    </w:p>
  </w:endnote>
  <w:endnote w:type="continuationSeparator" w:id="0">
    <w:p w14:paraId="73A21074" w14:textId="77777777" w:rsidR="00232320" w:rsidRDefault="00232320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7C0ABF" w:rsidRPr="00E47FC1" w14:paraId="18903B80" w14:textId="77777777" w:rsidTr="007C0ABF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8EE8B3F" w14:textId="77777777" w:rsidR="007C0ABF" w:rsidRPr="00E47FC1" w:rsidRDefault="007C0ABF" w:rsidP="007C0ABF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260D09F" w14:textId="77777777"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47302A58" w14:textId="77777777"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DD54FDB" w14:textId="77777777"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B654EE4" w14:textId="66D0ABEC" w:rsidR="007C0ABF" w:rsidRPr="00E47FC1" w:rsidRDefault="007C0ABF" w:rsidP="007C0AB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88262B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88262B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70475997" w14:textId="77777777" w:rsidR="007C0ABF" w:rsidRDefault="007C0A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632FD" w14:textId="77777777" w:rsidR="00232320" w:rsidRDefault="00232320" w:rsidP="00634381">
      <w:r>
        <w:separator/>
      </w:r>
    </w:p>
  </w:footnote>
  <w:footnote w:type="continuationSeparator" w:id="0">
    <w:p w14:paraId="0E9CD291" w14:textId="77777777" w:rsidR="00232320" w:rsidRDefault="00232320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012C1" w14:textId="77777777" w:rsidR="007C0ABF" w:rsidRDefault="007C0ABF" w:rsidP="00C0286A">
    <w:pPr>
      <w:pStyle w:val="Zhlav"/>
      <w:jc w:val="center"/>
    </w:pPr>
    <w:r>
      <w:rPr>
        <w:noProof/>
      </w:rPr>
      <w:drawing>
        <wp:inline distT="0" distB="0" distL="0" distR="0" wp14:anchorId="302E07BF" wp14:editId="70EC0A11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7C4BFC" w14:textId="77777777" w:rsidR="007C0ABF" w:rsidRDefault="007C0A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1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14F63"/>
    <w:rsid w:val="00016FC5"/>
    <w:rsid w:val="00025C43"/>
    <w:rsid w:val="000532E9"/>
    <w:rsid w:val="00057399"/>
    <w:rsid w:val="00057C7F"/>
    <w:rsid w:val="00070FE9"/>
    <w:rsid w:val="000F75B7"/>
    <w:rsid w:val="00107A98"/>
    <w:rsid w:val="00141C5B"/>
    <w:rsid w:val="00155A3F"/>
    <w:rsid w:val="001707EC"/>
    <w:rsid w:val="00174CA1"/>
    <w:rsid w:val="001A5CDD"/>
    <w:rsid w:val="001C1713"/>
    <w:rsid w:val="001C37DF"/>
    <w:rsid w:val="001E18AA"/>
    <w:rsid w:val="00202146"/>
    <w:rsid w:val="00202E76"/>
    <w:rsid w:val="00204D9A"/>
    <w:rsid w:val="00213558"/>
    <w:rsid w:val="0021750B"/>
    <w:rsid w:val="00221B02"/>
    <w:rsid w:val="002265AB"/>
    <w:rsid w:val="00230395"/>
    <w:rsid w:val="00230A18"/>
    <w:rsid w:val="00231F50"/>
    <w:rsid w:val="00232320"/>
    <w:rsid w:val="0025243F"/>
    <w:rsid w:val="002748BB"/>
    <w:rsid w:val="00286C01"/>
    <w:rsid w:val="002B5F2A"/>
    <w:rsid w:val="002B6138"/>
    <w:rsid w:val="002C177C"/>
    <w:rsid w:val="002E6F13"/>
    <w:rsid w:val="002E7F78"/>
    <w:rsid w:val="00302E7D"/>
    <w:rsid w:val="00304473"/>
    <w:rsid w:val="00320082"/>
    <w:rsid w:val="003229C3"/>
    <w:rsid w:val="00324CD8"/>
    <w:rsid w:val="00331484"/>
    <w:rsid w:val="0033728D"/>
    <w:rsid w:val="00346D17"/>
    <w:rsid w:val="003A442E"/>
    <w:rsid w:val="003A775F"/>
    <w:rsid w:val="003A7A28"/>
    <w:rsid w:val="003D582A"/>
    <w:rsid w:val="003E05AB"/>
    <w:rsid w:val="00482EA1"/>
    <w:rsid w:val="00482F73"/>
    <w:rsid w:val="004849AE"/>
    <w:rsid w:val="00486EE4"/>
    <w:rsid w:val="004A1556"/>
    <w:rsid w:val="004A1778"/>
    <w:rsid w:val="004A323F"/>
    <w:rsid w:val="004C1F8F"/>
    <w:rsid w:val="005211DB"/>
    <w:rsid w:val="00521973"/>
    <w:rsid w:val="00526EDC"/>
    <w:rsid w:val="00526FB6"/>
    <w:rsid w:val="005513DF"/>
    <w:rsid w:val="00556F14"/>
    <w:rsid w:val="0056072C"/>
    <w:rsid w:val="00585341"/>
    <w:rsid w:val="00596086"/>
    <w:rsid w:val="005E5868"/>
    <w:rsid w:val="005E7F63"/>
    <w:rsid w:val="0060205B"/>
    <w:rsid w:val="006221F8"/>
    <w:rsid w:val="00632B48"/>
    <w:rsid w:val="00634381"/>
    <w:rsid w:val="006429E7"/>
    <w:rsid w:val="00650BF8"/>
    <w:rsid w:val="006532D6"/>
    <w:rsid w:val="0067736D"/>
    <w:rsid w:val="006803CD"/>
    <w:rsid w:val="0069719B"/>
    <w:rsid w:val="006C6A3A"/>
    <w:rsid w:val="006E5C82"/>
    <w:rsid w:val="006E72F1"/>
    <w:rsid w:val="00714EBA"/>
    <w:rsid w:val="00717939"/>
    <w:rsid w:val="007206B1"/>
    <w:rsid w:val="00722201"/>
    <w:rsid w:val="00730129"/>
    <w:rsid w:val="0076431E"/>
    <w:rsid w:val="007852CE"/>
    <w:rsid w:val="0078659D"/>
    <w:rsid w:val="007C0AB0"/>
    <w:rsid w:val="007C0ABF"/>
    <w:rsid w:val="007C6C01"/>
    <w:rsid w:val="007D00D7"/>
    <w:rsid w:val="007D1312"/>
    <w:rsid w:val="007D5110"/>
    <w:rsid w:val="007D6374"/>
    <w:rsid w:val="0082753C"/>
    <w:rsid w:val="00844F3C"/>
    <w:rsid w:val="00863444"/>
    <w:rsid w:val="0088262B"/>
    <w:rsid w:val="00885A5C"/>
    <w:rsid w:val="00895CD7"/>
    <w:rsid w:val="008A5F96"/>
    <w:rsid w:val="008C1B67"/>
    <w:rsid w:val="008E260A"/>
    <w:rsid w:val="00900F86"/>
    <w:rsid w:val="00932786"/>
    <w:rsid w:val="009343D5"/>
    <w:rsid w:val="00952FC0"/>
    <w:rsid w:val="0096357A"/>
    <w:rsid w:val="00991CCA"/>
    <w:rsid w:val="009A0D1E"/>
    <w:rsid w:val="009B2631"/>
    <w:rsid w:val="009C51B5"/>
    <w:rsid w:val="009D5E0D"/>
    <w:rsid w:val="009E4F57"/>
    <w:rsid w:val="00A24831"/>
    <w:rsid w:val="00A61BC2"/>
    <w:rsid w:val="00A67C37"/>
    <w:rsid w:val="00A87D82"/>
    <w:rsid w:val="00A940CF"/>
    <w:rsid w:val="00AA6E68"/>
    <w:rsid w:val="00AC4029"/>
    <w:rsid w:val="00B039C5"/>
    <w:rsid w:val="00B32019"/>
    <w:rsid w:val="00B32AB8"/>
    <w:rsid w:val="00B505B3"/>
    <w:rsid w:val="00B55EB2"/>
    <w:rsid w:val="00B55FFC"/>
    <w:rsid w:val="00B7197B"/>
    <w:rsid w:val="00B743E5"/>
    <w:rsid w:val="00B8276E"/>
    <w:rsid w:val="00BA4BDB"/>
    <w:rsid w:val="00BF33B7"/>
    <w:rsid w:val="00C0286A"/>
    <w:rsid w:val="00C053B0"/>
    <w:rsid w:val="00C23F14"/>
    <w:rsid w:val="00C24C75"/>
    <w:rsid w:val="00C85696"/>
    <w:rsid w:val="00CC21DF"/>
    <w:rsid w:val="00CD553F"/>
    <w:rsid w:val="00CF4451"/>
    <w:rsid w:val="00CF5985"/>
    <w:rsid w:val="00D03DB9"/>
    <w:rsid w:val="00D04B31"/>
    <w:rsid w:val="00D173A1"/>
    <w:rsid w:val="00D23C75"/>
    <w:rsid w:val="00D33570"/>
    <w:rsid w:val="00D77E91"/>
    <w:rsid w:val="00DA1946"/>
    <w:rsid w:val="00DA4909"/>
    <w:rsid w:val="00DA5275"/>
    <w:rsid w:val="00DA67EE"/>
    <w:rsid w:val="00DB0E8E"/>
    <w:rsid w:val="00DC0DD9"/>
    <w:rsid w:val="00DE37B6"/>
    <w:rsid w:val="00DE6862"/>
    <w:rsid w:val="00DF0CF6"/>
    <w:rsid w:val="00E11701"/>
    <w:rsid w:val="00E20FDB"/>
    <w:rsid w:val="00E616B5"/>
    <w:rsid w:val="00E7327E"/>
    <w:rsid w:val="00E86085"/>
    <w:rsid w:val="00E92956"/>
    <w:rsid w:val="00EB0EA0"/>
    <w:rsid w:val="00EB25CE"/>
    <w:rsid w:val="00EB4303"/>
    <w:rsid w:val="00EC190D"/>
    <w:rsid w:val="00F02008"/>
    <w:rsid w:val="00F11638"/>
    <w:rsid w:val="00F31F10"/>
    <w:rsid w:val="00F33CAB"/>
    <w:rsid w:val="00F45C86"/>
    <w:rsid w:val="00F45CCF"/>
    <w:rsid w:val="00F63713"/>
    <w:rsid w:val="00F70BB4"/>
    <w:rsid w:val="00F86D1A"/>
    <w:rsid w:val="00F91964"/>
    <w:rsid w:val="00FB0D2C"/>
    <w:rsid w:val="00FF5E5B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FCF3E3"/>
  <w15:docId w15:val="{00554EFD-DCDC-4318-82AD-A1FC949C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9139-283D-4546-96A9-ED1F5A3B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Soňa Habová</cp:lastModifiedBy>
  <cp:revision>11</cp:revision>
  <dcterms:created xsi:type="dcterms:W3CDTF">2016-11-20T10:39:00Z</dcterms:created>
  <dcterms:modified xsi:type="dcterms:W3CDTF">2018-05-03T04:58:00Z</dcterms:modified>
</cp:coreProperties>
</file>