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23C5" w14:textId="77777777" w:rsidR="00C835D3" w:rsidRDefault="00C835D3" w:rsidP="00C835D3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0B5BF4C4" w14:textId="77777777" w:rsidR="00C835D3" w:rsidRPr="00B304E9" w:rsidRDefault="00C835D3" w:rsidP="00C835D3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61C9BF85" w14:textId="77777777" w:rsidR="00C835D3" w:rsidRDefault="00C835D3" w:rsidP="00C835D3">
      <w:pPr>
        <w:rPr>
          <w:rFonts w:ascii="Cambria" w:hAnsi="Cambria" w:cs="Arial"/>
          <w:b/>
          <w:sz w:val="40"/>
          <w:szCs w:val="40"/>
        </w:rPr>
      </w:pPr>
    </w:p>
    <w:p w14:paraId="13C533A0" w14:textId="77777777" w:rsidR="00C835D3" w:rsidRPr="004C3570" w:rsidRDefault="00C835D3" w:rsidP="00C835D3">
      <w:pPr>
        <w:rPr>
          <w:rFonts w:ascii="Cambria" w:hAnsi="Cambria" w:cs="Arial"/>
          <w:b/>
          <w:sz w:val="40"/>
          <w:szCs w:val="40"/>
        </w:rPr>
      </w:pPr>
    </w:p>
    <w:p w14:paraId="0F5A4098" w14:textId="77777777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46CB4EE" w14:textId="1C8A808E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A60BA1">
        <w:rPr>
          <w:rFonts w:ascii="Cambria" w:hAnsi="Cambria" w:cs="MyriadPro-Black"/>
          <w:caps/>
          <w:sz w:val="60"/>
          <w:szCs w:val="60"/>
        </w:rPr>
        <w:t xml:space="preserve">pro integrované projekty </w:t>
      </w:r>
      <w:r w:rsidR="00B81D45">
        <w:rPr>
          <w:rFonts w:ascii="Cambria" w:hAnsi="Cambria" w:cs="MyriadPro-Black"/>
          <w:caps/>
          <w:sz w:val="60"/>
          <w:szCs w:val="60"/>
        </w:rPr>
        <w:t>CLLD</w:t>
      </w:r>
    </w:p>
    <w:p w14:paraId="2965BA4C" w14:textId="77777777" w:rsidR="00C835D3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14:paraId="3EA8B30D" w14:textId="77777777" w:rsidR="00C835D3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14:paraId="68E9D176" w14:textId="77777777" w:rsidR="00C835D3" w:rsidRPr="004A011E" w:rsidRDefault="00C835D3" w:rsidP="00C835D3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AA0F52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6D15909A" w14:textId="77777777" w:rsidR="00C835D3" w:rsidRPr="004A011E" w:rsidRDefault="00A60BA1" w:rsidP="00C835D3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C835D3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D4B93">
        <w:rPr>
          <w:rFonts w:ascii="Cambria" w:hAnsi="Cambria" w:cs="MyriadPro-Black"/>
          <w:caps/>
          <w:color w:val="A6A6A6"/>
          <w:sz w:val="40"/>
          <w:szCs w:val="40"/>
        </w:rPr>
        <w:t>5</w:t>
      </w:r>
      <w:r w:rsidR="00AA0F52">
        <w:rPr>
          <w:rFonts w:ascii="Cambria" w:hAnsi="Cambria" w:cs="MyriadPro-Black"/>
          <w:caps/>
          <w:color w:val="A6A6A6"/>
          <w:sz w:val="40"/>
          <w:szCs w:val="40"/>
        </w:rPr>
        <w:t>3</w:t>
      </w:r>
    </w:p>
    <w:p w14:paraId="6F5963FF" w14:textId="77777777" w:rsidR="00C835D3" w:rsidRPr="004C3570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14:paraId="535E17CF" w14:textId="77777777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7310A5">
        <w:rPr>
          <w:rFonts w:ascii="Cambria" w:hAnsi="Cambria" w:cs="MyriadPro-Black"/>
          <w:caps/>
          <w:sz w:val="40"/>
          <w:szCs w:val="40"/>
        </w:rPr>
        <w:t>3</w:t>
      </w:r>
    </w:p>
    <w:p w14:paraId="5BC448DF" w14:textId="77777777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142C89B3" w14:textId="77777777" w:rsidR="00C835D3" w:rsidRPr="004C3570" w:rsidRDefault="004C15AB" w:rsidP="00C835D3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Metodick</w:t>
      </w:r>
      <w:r w:rsidR="007310A5">
        <w:rPr>
          <w:rFonts w:ascii="Cambria" w:hAnsi="Cambria" w:cs="MyriadPro-Black"/>
          <w:b/>
          <w:caps/>
          <w:sz w:val="46"/>
          <w:szCs w:val="40"/>
        </w:rPr>
        <w:t>É</w:t>
      </w:r>
      <w:r>
        <w:rPr>
          <w:rFonts w:ascii="Cambria" w:hAnsi="Cambria" w:cs="MyriadPro-Black"/>
          <w:b/>
          <w:caps/>
          <w:sz w:val="46"/>
          <w:szCs w:val="40"/>
        </w:rPr>
        <w:t xml:space="preserve"> list</w:t>
      </w:r>
      <w:r w:rsidR="007310A5">
        <w:rPr>
          <w:rFonts w:ascii="Cambria" w:hAnsi="Cambria" w:cs="MyriadPro-Black"/>
          <w:b/>
          <w:caps/>
          <w:sz w:val="46"/>
          <w:szCs w:val="40"/>
        </w:rPr>
        <w:t>Y</w:t>
      </w:r>
      <w:r>
        <w:rPr>
          <w:rFonts w:ascii="Cambria" w:hAnsi="Cambria" w:cs="MyriadPro-Black"/>
          <w:b/>
          <w:caps/>
          <w:sz w:val="46"/>
          <w:szCs w:val="40"/>
        </w:rPr>
        <w:t xml:space="preserve"> indikátor</w:t>
      </w:r>
      <w:r w:rsidR="007310A5">
        <w:rPr>
          <w:rFonts w:ascii="Cambria" w:hAnsi="Cambria" w:cs="MyriadPro-Black"/>
          <w:b/>
          <w:caps/>
          <w:sz w:val="46"/>
          <w:szCs w:val="40"/>
        </w:rPr>
        <w:t>Ů</w:t>
      </w:r>
    </w:p>
    <w:p w14:paraId="0BAB6715" w14:textId="77777777" w:rsidR="00C835D3" w:rsidRDefault="00C835D3" w:rsidP="00C835D3">
      <w:pPr>
        <w:pStyle w:val="Default"/>
        <w:spacing w:line="276" w:lineRule="auto"/>
        <w:jc w:val="center"/>
      </w:pPr>
    </w:p>
    <w:p w14:paraId="499E35F1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14:paraId="558849EC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14:paraId="6888C7BC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14:paraId="626371CE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14:paraId="1C11C501" w14:textId="77777777" w:rsidR="00C835D3" w:rsidRDefault="00C835D3" w:rsidP="00C835D3">
      <w:pPr>
        <w:pStyle w:val="Default"/>
        <w:jc w:val="center"/>
        <w:rPr>
          <w:rFonts w:ascii="Cambria" w:hAnsi="Cambria"/>
        </w:rPr>
      </w:pPr>
      <w:bookmarkStart w:id="5" w:name="_GoBack"/>
      <w:bookmarkEnd w:id="5"/>
    </w:p>
    <w:p w14:paraId="70BF70AE" w14:textId="77777777" w:rsidR="00C835D3" w:rsidRDefault="00C835D3" w:rsidP="00C835D3">
      <w:pPr>
        <w:pStyle w:val="Default"/>
        <w:jc w:val="center"/>
        <w:rPr>
          <w:rFonts w:ascii="Cambria" w:hAnsi="Cambria"/>
        </w:rPr>
      </w:pPr>
    </w:p>
    <w:p w14:paraId="47BFDAFE" w14:textId="324CAD20" w:rsidR="00171E4E" w:rsidRDefault="00C835D3" w:rsidP="004C15AB">
      <w:pPr>
        <w:rPr>
          <w:rFonts w:ascii="Cambria" w:hAnsi="Cambria" w:cs="MyriadPro-Black"/>
          <w:caps/>
          <w:color w:val="A6A6A6"/>
          <w:sz w:val="32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7F4C70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F576D3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7F4C70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F576D3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 201</w:t>
      </w:r>
      <w:r w:rsidR="00DC178D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p w14:paraId="7B52C1B0" w14:textId="2677FF35" w:rsidR="0058490C" w:rsidRDefault="0058490C" w:rsidP="004C15AB">
      <w:pPr>
        <w:rPr>
          <w:rFonts w:ascii="Cambria" w:hAnsi="Cambria" w:cs="MyriadPro-Black"/>
          <w:caps/>
          <w:color w:val="A6A6A6"/>
          <w:sz w:val="32"/>
          <w:szCs w:val="40"/>
        </w:rPr>
      </w:pPr>
    </w:p>
    <w:p w14:paraId="30DD6E28" w14:textId="77777777" w:rsidR="00ED4B93" w:rsidRDefault="00ED4B93" w:rsidP="004C15AB">
      <w:pPr>
        <w:rPr>
          <w:rFonts w:ascii="Cambria" w:hAnsi="Cambria" w:cs="MyriadPro-Black"/>
          <w:caps/>
          <w:color w:val="A6A6A6"/>
          <w:sz w:val="32"/>
          <w:szCs w:val="40"/>
        </w:rPr>
      </w:pPr>
    </w:p>
    <w:p w14:paraId="39D7B9B1" w14:textId="77777777" w:rsidR="002D603F" w:rsidRPr="00D31042" w:rsidRDefault="002D603F" w:rsidP="002D603F">
      <w:pPr>
        <w:rPr>
          <w:b/>
        </w:rPr>
      </w:pPr>
      <w:r w:rsidRPr="00D31042">
        <w:rPr>
          <w:b/>
        </w:rPr>
        <w:t xml:space="preserve">Pro aktivitu </w:t>
      </w:r>
      <w:r w:rsidR="00EA048A">
        <w:rPr>
          <w:b/>
        </w:rPr>
        <w:t>“Terminály a parkovací systémy“</w:t>
      </w:r>
      <w:r w:rsidRPr="00D31042">
        <w:rPr>
          <w:b/>
        </w:rPr>
        <w:t xml:space="preserve"> jsou relevantní následující indikátory: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326CE2" w:rsidRPr="00F57E12" w14:paraId="03988EA5" w14:textId="77777777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23FB87E1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326CE2" w:rsidRPr="00F57E12" w14:paraId="6B83D169" w14:textId="77777777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EA5037F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26CE2" w:rsidRPr="00F57E12" w14:paraId="628F350A" w14:textId="77777777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B05A4C7" w14:textId="77777777" w:rsidR="00326CE2" w:rsidRPr="00F57E12" w:rsidRDefault="00326CE2" w:rsidP="00B25848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Počet </w:t>
            </w:r>
            <w:r w:rsidR="00B2584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nových nebo rekonstruovaných přestupních terminálů ve veřejné dopravě</w:t>
            </w:r>
          </w:p>
        </w:tc>
      </w:tr>
      <w:tr w:rsidR="00326CE2" w:rsidRPr="00F57E12" w14:paraId="7196D4B4" w14:textId="77777777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AF2BD2A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D4FC9C0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8FBAE41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A58D5D9" w14:textId="77777777" w:rsidR="00326CE2" w:rsidRPr="00F57E12" w:rsidRDefault="00326CE2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D109E54" w14:textId="77777777" w:rsidR="00326CE2" w:rsidRPr="00F57E12" w:rsidRDefault="00326CE2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326CE2" w:rsidRPr="00F57E12" w14:paraId="1F3663BD" w14:textId="77777777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593" w14:textId="77777777" w:rsidR="00326CE2" w:rsidRPr="00F57E12" w:rsidRDefault="00326CE2" w:rsidP="000C777B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7 </w:t>
            </w:r>
            <w:r w:rsidR="000C777B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52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FBB" w14:textId="77777777" w:rsidR="00326CE2" w:rsidRPr="00F57E12" w:rsidRDefault="00326CE2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EEC" w14:textId="77777777" w:rsidR="00326CE2" w:rsidRPr="00F57E12" w:rsidRDefault="009C6ED8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Terminály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69DF" w14:textId="77777777" w:rsidR="00326CE2" w:rsidRPr="00F57E12" w:rsidRDefault="00326CE2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B7B4F" w14:textId="77777777" w:rsidR="00326CE2" w:rsidRPr="00F57E12" w:rsidRDefault="00326CE2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326CE2" w:rsidRPr="00F57E12" w14:paraId="156B9C1B" w14:textId="77777777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49CFB91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326CE2" w:rsidRPr="00F57E12" w14:paraId="1597F107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C5074A6" w14:textId="77777777" w:rsidR="00326CE2" w:rsidRPr="0076585A" w:rsidRDefault="005833A0" w:rsidP="005833A0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5833A0">
              <w:rPr>
                <w:sz w:val="20"/>
                <w:szCs w:val="20"/>
              </w:rPr>
              <w:t>Počet nových nebo zrekonstruovaných přestupních terminálů veřejné hromadné dopravy.</w:t>
            </w:r>
          </w:p>
        </w:tc>
      </w:tr>
      <w:tr w:rsidR="00326CE2" w:rsidRPr="00F57E12" w14:paraId="7B4F6D6B" w14:textId="77777777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066287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CFE855F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326CE2" w:rsidRPr="00F57E12" w14:paraId="102A83D1" w14:textId="77777777" w:rsidTr="004C15AB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9A6F" w14:textId="77777777" w:rsidR="00326CE2" w:rsidRPr="0076585A" w:rsidRDefault="00326CE2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</w:rPr>
              <w:t xml:space="preserve">1 - </w:t>
            </w:r>
            <w:r w:rsidRPr="0076585A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251D8" w14:textId="77777777" w:rsidR="00326CE2" w:rsidRPr="0076585A" w:rsidRDefault="00326CE2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color w:val="000000"/>
              </w:rPr>
              <w:t xml:space="preserve">1.2 - </w:t>
            </w:r>
            <w:r w:rsidRPr="0076585A">
              <w:rPr>
                <w:color w:val="000000"/>
              </w:rPr>
              <w:t>Zvýšení podílu udržitelných forem dopravy</w:t>
            </w:r>
          </w:p>
        </w:tc>
      </w:tr>
      <w:tr w:rsidR="00326CE2" w:rsidRPr="00F57E12" w14:paraId="5759C5C6" w14:textId="77777777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A0FB32E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326CE2" w:rsidRPr="00F57E12" w14:paraId="222FFF41" w14:textId="77777777" w:rsidTr="004C15AB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2A052382" w14:textId="77777777" w:rsidR="00326CE2" w:rsidRPr="0076585A" w:rsidRDefault="003376A4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="00326CE2" w:rsidRPr="0076585A">
              <w:rPr>
                <w:b/>
                <w:bCs/>
              </w:rPr>
              <w:t>ulová</w:t>
            </w:r>
          </w:p>
        </w:tc>
      </w:tr>
      <w:tr w:rsidR="00326CE2" w:rsidRPr="00F57E12" w14:paraId="531CD7EB" w14:textId="77777777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6602FF7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326CE2" w:rsidRPr="00033E1A" w14:paraId="29F48F77" w14:textId="77777777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14942D43" w14:textId="77777777" w:rsidR="0028714A" w:rsidRDefault="00326CE2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 xml:space="preserve">Indikátor je povinný k výběru a k naplnění pro projekty </w:t>
            </w:r>
            <w:r w:rsidR="004B5862">
              <w:rPr>
                <w:sz w:val="20"/>
                <w:szCs w:val="20"/>
              </w:rPr>
              <w:t xml:space="preserve">rekonstrukcí, modernizací a výstavby terminálů </w:t>
            </w:r>
            <w:r w:rsidR="00F93395">
              <w:rPr>
                <w:sz w:val="20"/>
                <w:szCs w:val="20"/>
              </w:rPr>
              <w:t>jako významných přestupních uzlů veřejné dopravy.</w:t>
            </w:r>
            <w:r w:rsidR="00606C7B">
              <w:rPr>
                <w:sz w:val="20"/>
                <w:szCs w:val="20"/>
              </w:rPr>
              <w:t xml:space="preserve"> </w:t>
            </w:r>
          </w:p>
          <w:p w14:paraId="1399237B" w14:textId="77777777" w:rsidR="00326CE2" w:rsidRPr="0076585A" w:rsidRDefault="00606C7B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Terminálem se rozumí přestupní uzel veřejné dopravy, jak je popsán ve Specifických pravidlech.</w:t>
            </w:r>
          </w:p>
          <w:p w14:paraId="74F2EBBD" w14:textId="77777777" w:rsidR="00326CE2" w:rsidRPr="0076585A" w:rsidRDefault="00326CE2" w:rsidP="00285CA0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76585A">
              <w:rPr>
                <w:b/>
                <w:sz w:val="20"/>
                <w:szCs w:val="20"/>
                <w:u w:val="single"/>
              </w:rPr>
              <w:t>Cílová hodnota:</w:t>
            </w:r>
            <w:r w:rsidRPr="0076585A">
              <w:rPr>
                <w:sz w:val="20"/>
                <w:szCs w:val="20"/>
              </w:rPr>
              <w:t xml:space="preserve"> </w:t>
            </w:r>
            <w:r w:rsidR="00F93395">
              <w:rPr>
                <w:sz w:val="20"/>
                <w:szCs w:val="20"/>
              </w:rPr>
              <w:t xml:space="preserve">plánovaný počet </w:t>
            </w:r>
            <w:r w:rsidR="002365FC">
              <w:rPr>
                <w:sz w:val="20"/>
                <w:szCs w:val="20"/>
              </w:rPr>
              <w:t>všech vybudovaných</w:t>
            </w:r>
            <w:r w:rsidR="00A604DD">
              <w:rPr>
                <w:sz w:val="20"/>
                <w:szCs w:val="20"/>
              </w:rPr>
              <w:t xml:space="preserve"> nebo rekonstruovaných či modernizovaných terminálů. </w:t>
            </w:r>
            <w:r w:rsidRPr="0076585A">
              <w:rPr>
                <w:sz w:val="20"/>
                <w:szCs w:val="20"/>
              </w:rPr>
              <w:t>Žadatel se zavazuje stanovenou hodnotu naplnit k datu ukončení realizace projektu.</w:t>
            </w:r>
          </w:p>
          <w:p w14:paraId="264AAB7F" w14:textId="77777777" w:rsidR="00224749" w:rsidRPr="0076585A" w:rsidRDefault="00326CE2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76585A">
              <w:rPr>
                <w:b/>
                <w:sz w:val="20"/>
                <w:szCs w:val="20"/>
                <w:u w:val="single"/>
              </w:rPr>
              <w:t>Dosažená hodnota</w:t>
            </w:r>
            <w:r w:rsidR="00544888" w:rsidRPr="0076585A">
              <w:rPr>
                <w:sz w:val="20"/>
                <w:szCs w:val="20"/>
              </w:rPr>
              <w:t xml:space="preserve"> </w:t>
            </w:r>
            <w:r w:rsidR="00400619">
              <w:rPr>
                <w:sz w:val="20"/>
                <w:szCs w:val="20"/>
              </w:rPr>
              <w:t xml:space="preserve">skutečný počet </w:t>
            </w:r>
            <w:r w:rsidR="002365FC">
              <w:rPr>
                <w:sz w:val="20"/>
                <w:szCs w:val="20"/>
              </w:rPr>
              <w:t xml:space="preserve">všech vybudovaných </w:t>
            </w:r>
            <w:r w:rsidR="00400619">
              <w:rPr>
                <w:sz w:val="20"/>
                <w:szCs w:val="20"/>
              </w:rPr>
              <w:t>nebo rekonstruovaných či modernizovaných terminálů</w:t>
            </w:r>
            <w:r w:rsidR="00544888" w:rsidRPr="0076585A">
              <w:rPr>
                <w:sz w:val="20"/>
                <w:szCs w:val="20"/>
              </w:rPr>
              <w:t>.</w:t>
            </w:r>
          </w:p>
          <w:p w14:paraId="19A1E81A" w14:textId="709B9A6B" w:rsidR="00BC10F4" w:rsidRPr="00764007" w:rsidRDefault="00544888" w:rsidP="00BC10F4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76585A">
              <w:rPr>
                <w:b/>
                <w:sz w:val="20"/>
                <w:szCs w:val="20"/>
              </w:rPr>
              <w:t>Tolerance: žádná</w:t>
            </w:r>
            <w:r w:rsidRPr="0076585A">
              <w:rPr>
                <w:sz w:val="20"/>
                <w:szCs w:val="20"/>
              </w:rPr>
              <w:t xml:space="preserve">, pokud není naplněna cílová hodnota, projekt nenaplnil svůj cíl. </w:t>
            </w:r>
            <w:r w:rsidR="00BC10F4">
              <w:rPr>
                <w:sz w:val="20"/>
                <w:szCs w:val="20"/>
              </w:rPr>
              <w:t>Pokud se během realizace projektu objeví skutečnosti, které vedou k nenaplnění či přeplnění cílové hodnoty indikátoru, je nutné s</w:t>
            </w:r>
            <w:r w:rsidR="004338A3">
              <w:rPr>
                <w:sz w:val="20"/>
                <w:szCs w:val="20"/>
              </w:rPr>
              <w:t> </w:t>
            </w:r>
            <w:r w:rsidR="00BC10F4">
              <w:rPr>
                <w:sz w:val="20"/>
                <w:szCs w:val="20"/>
              </w:rPr>
              <w:t>předstihem</w:t>
            </w:r>
            <w:r w:rsidR="00BC10F4"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 w:rsidR="00BC10F4">
              <w:rPr>
                <w:sz w:val="20"/>
                <w:szCs w:val="20"/>
              </w:rPr>
              <w:t>, kde příjemce zdůvodní nutnost úpravy cílové hodnoty indikátoru</w:t>
            </w:r>
            <w:r w:rsidR="00BC10F4" w:rsidRPr="00057DF8">
              <w:rPr>
                <w:sz w:val="20"/>
                <w:szCs w:val="20"/>
              </w:rPr>
              <w:t>.</w:t>
            </w:r>
            <w:r w:rsidR="00BC10F4"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7351F36D" w14:textId="1F3CAE64" w:rsidR="00326CE2" w:rsidRPr="0076585A" w:rsidRDefault="00BC10F4">
            <w:pPr>
              <w:spacing w:before="120" w:after="120"/>
              <w:ind w:left="170" w:right="170"/>
              <w:jc w:val="both"/>
              <w:rPr>
                <w:color w:val="943634" w:themeColor="accent2" w:themeShade="BF"/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aplikova</w:t>
            </w:r>
            <w:r w:rsidR="0028714A"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 w:rsidR="0028714A"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 w:rsidR="0028714A"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v</w:t>
            </w:r>
            <w:r w:rsidR="004338A3">
              <w:rPr>
                <w:sz w:val="20"/>
                <w:szCs w:val="20"/>
              </w:rPr>
              <w:t> </w:t>
            </w:r>
            <w:r w:rsidRPr="00BB1C6F">
              <w:rPr>
                <w:sz w:val="20"/>
                <w:szCs w:val="20"/>
              </w:rPr>
              <w:t xml:space="preserve">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326CE2" w:rsidRPr="00F57E12" w14:paraId="2FA7422A" w14:textId="77777777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6308D3E" w14:textId="77777777" w:rsidR="00326CE2" w:rsidRPr="0076585A" w:rsidRDefault="00326CE2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76585A"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326CE2" w:rsidRPr="00F57E12" w14:paraId="5431A826" w14:textId="77777777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A21967" w14:textId="3639A068" w:rsidR="00326CE2" w:rsidRPr="0076585A" w:rsidRDefault="00326CE2" w:rsidP="00285CA0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76585A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76585A">
              <w:rPr>
                <w:color w:val="000000"/>
                <w:sz w:val="20"/>
                <w:szCs w:val="20"/>
              </w:rPr>
              <w:t xml:space="preserve">systému MS2014+. </w:t>
            </w:r>
          </w:p>
          <w:p w14:paraId="6BB55D95" w14:textId="77777777" w:rsidR="00326CE2" w:rsidRPr="0076585A" w:rsidRDefault="00326CE2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76585A">
              <w:rPr>
                <w:color w:val="000000"/>
                <w:sz w:val="20"/>
                <w:szCs w:val="20"/>
              </w:rPr>
              <w:t>Dosaženou hodnotu vykazuje v systému MS2014+ prostřednictvím:</w:t>
            </w:r>
          </w:p>
          <w:p w14:paraId="27D3FCD0" w14:textId="77777777" w:rsidR="00326CE2" w:rsidRPr="0076585A" w:rsidRDefault="00326CE2" w:rsidP="0058490C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>Průběžných zpráv o realizaci projektu</w:t>
            </w:r>
          </w:p>
          <w:p w14:paraId="0A968FC2" w14:textId="77777777" w:rsidR="00326CE2" w:rsidRPr="0076585A" w:rsidRDefault="00326CE2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>Závěrečné zprávy o realizaci projektu</w:t>
            </w:r>
            <w:r w:rsidRPr="0076585A" w:rsidDel="00974639">
              <w:rPr>
                <w:sz w:val="20"/>
                <w:szCs w:val="20"/>
              </w:rPr>
              <w:t xml:space="preserve"> </w:t>
            </w:r>
          </w:p>
          <w:p w14:paraId="4D15B0EF" w14:textId="77777777" w:rsidR="00326CE2" w:rsidRPr="0076585A" w:rsidRDefault="00326CE2" w:rsidP="002D603F">
            <w:pPr>
              <w:spacing w:before="120" w:after="120"/>
              <w:ind w:left="170" w:right="170"/>
              <w:rPr>
                <w:color w:val="000000"/>
              </w:rPr>
            </w:pPr>
            <w:r w:rsidRPr="0076585A">
              <w:rPr>
                <w:sz w:val="20"/>
                <w:szCs w:val="20"/>
              </w:rPr>
              <w:t>Zpráv o udržitelnosti projektu</w:t>
            </w:r>
          </w:p>
        </w:tc>
      </w:tr>
    </w:tbl>
    <w:p w14:paraId="100CA627" w14:textId="77777777" w:rsidR="00587843" w:rsidRDefault="00587843">
      <w:r>
        <w:br w:type="page"/>
      </w:r>
    </w:p>
    <w:tbl>
      <w:tblPr>
        <w:tblpPr w:leftFromText="141" w:rightFromText="141" w:vertAnchor="text" w:tblpY="18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14:paraId="7FC0756A" w14:textId="77777777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504EF2AB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14:paraId="6E50079F" w14:textId="77777777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56567E9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5508538D" w14:textId="77777777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F413E86" w14:textId="77777777"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Počet 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vytvořených parkovacích míst</w:t>
            </w:r>
          </w:p>
        </w:tc>
      </w:tr>
      <w:tr w:rsidR="00587843" w:rsidRPr="00F57E12" w14:paraId="51C13546" w14:textId="77777777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B7A1CE4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6B33A68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4D490FB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9CAC7EC" w14:textId="77777777"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364814C" w14:textId="77777777"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14:paraId="113C14FA" w14:textId="77777777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9126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7 40 01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4D06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084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398F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FFDFDE" w14:textId="77777777"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14:paraId="40180D47" w14:textId="77777777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8FD7FAE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587843" w:rsidRPr="00F57E12" w14:paraId="37187221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5C2392D" w14:textId="77777777" w:rsidR="00587843" w:rsidRPr="00915F4C" w:rsidRDefault="00587843" w:rsidP="00587843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E07FAF">
              <w:rPr>
                <w:sz w:val="20"/>
                <w:szCs w:val="20"/>
              </w:rPr>
              <w:t>Počet nových nebo technicky zhodnocených parkovacích míst v rámci projektů zaměřených na vytváření nových nebo technicky zhodnocených parkovacích domů a parkovišť všech typů. Veřejné parkoviště je stavebně a provozně vymezená plocha místní nebo účelové komunikace anebo samostatná místní nebo účelová komunikace určená ke stání silničního motorového vozidla.</w:t>
            </w:r>
          </w:p>
        </w:tc>
      </w:tr>
      <w:tr w:rsidR="00587843" w:rsidRPr="00F57E12" w14:paraId="1E7AB181" w14:textId="77777777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DF1C5A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D4F83A8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14:paraId="1B1607F9" w14:textId="77777777" w:rsidTr="00587843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63E0" w14:textId="77777777" w:rsidR="00587843" w:rsidRPr="00915F4C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</w:rPr>
              <w:t xml:space="preserve">1 - </w:t>
            </w:r>
            <w:r w:rsidRPr="00915F4C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1C6330" w14:textId="77777777" w:rsidR="00587843" w:rsidRPr="00915F4C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color w:val="000000"/>
              </w:rPr>
              <w:t xml:space="preserve">1.2 - </w:t>
            </w:r>
            <w:r w:rsidRPr="00915F4C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14:paraId="2CAB3150" w14:textId="77777777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73CA5A3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14:paraId="2456ABB5" w14:textId="77777777" w:rsidTr="00587843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3E8F8E66" w14:textId="77777777" w:rsidR="00587843" w:rsidRPr="00915F4C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Pr="00915F4C">
              <w:rPr>
                <w:b/>
                <w:bCs/>
              </w:rPr>
              <w:t>ulová</w:t>
            </w:r>
          </w:p>
        </w:tc>
      </w:tr>
      <w:tr w:rsidR="00587843" w:rsidRPr="00F57E12" w14:paraId="7FDEFCEA" w14:textId="77777777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C0611A0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033E1A" w14:paraId="1D614EAF" w14:textId="77777777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28999C63" w14:textId="77777777" w:rsidR="00587843" w:rsidRPr="00915F4C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Indikátor je povinný k výběru a k naplnění pro projekty</w:t>
            </w:r>
            <w:r>
              <w:rPr>
                <w:sz w:val="20"/>
                <w:szCs w:val="20"/>
              </w:rPr>
              <w:t xml:space="preserve">, jejichž součástí je realizace </w:t>
            </w:r>
            <w:r w:rsidRPr="00141E9B">
              <w:rPr>
                <w:sz w:val="20"/>
                <w:szCs w:val="20"/>
              </w:rPr>
              <w:t>ploch pro stání osobních vozidel v systému P+R, K+R nebo P+G.</w:t>
            </w:r>
          </w:p>
          <w:p w14:paraId="281153B7" w14:textId="77777777" w:rsidR="00587843" w:rsidRDefault="00587843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  <w:u w:val="single"/>
              </w:rPr>
              <w:t>Cílová hodnota:</w:t>
            </w:r>
            <w:r w:rsidRPr="00915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plánovaný počet vytvořených nebo upravených parkovacích míst pro osobní vozidla a motocykly na parkovištích, v parkovacích domech, jejich částech, částech pozemních komunikací nebo terminálů. </w:t>
            </w:r>
          </w:p>
          <w:p w14:paraId="3BC54D7A" w14:textId="77777777" w:rsidR="00587843" w:rsidRPr="00915F4C" w:rsidRDefault="00587843" w:rsidP="00587843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Žadatel se zavazuje stanovenou hodnotu naplnit k datu ukončení realizace projektu.</w:t>
            </w:r>
          </w:p>
          <w:p w14:paraId="1B3A0B6D" w14:textId="77777777" w:rsidR="00587843" w:rsidRDefault="00587843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  <w:u w:val="single"/>
              </w:rPr>
              <w:t>Dosažená hodnota</w:t>
            </w:r>
            <w:r w:rsidRPr="00915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skutečný počet vytvořených nebo upravených parkovacích míst pro osobní vozidla a motocykly na parkovištích, v parkovacích domech, jejich částech, částech pozemních komunikací nebo terminálů.</w:t>
            </w:r>
          </w:p>
          <w:p w14:paraId="1CD520BA" w14:textId="77777777" w:rsidR="00587843" w:rsidRPr="00ED4B9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ED4B93">
              <w:rPr>
                <w:b/>
                <w:sz w:val="20"/>
              </w:rPr>
              <w:t>Do hodnoty indikátoru se nezapočítávají parkovací místa financovaná z nezpůsobilých výdajů projektu.</w:t>
            </w:r>
          </w:p>
          <w:p w14:paraId="37554807" w14:textId="7C2392E7" w:rsidR="00587843" w:rsidRPr="00764007" w:rsidRDefault="00587843" w:rsidP="00587843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</w:rPr>
              <w:t>Tolerance: žádná</w:t>
            </w:r>
            <w:r w:rsidRPr="00915F4C">
              <w:rPr>
                <w:sz w:val="20"/>
                <w:szCs w:val="20"/>
              </w:rPr>
              <w:t xml:space="preserve">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5DB900D2" w14:textId="101FEFC0" w:rsidR="00587843" w:rsidRPr="000D13D9" w:rsidRDefault="00587843" w:rsidP="00C913D1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</w:t>
            </w:r>
            <w:r>
              <w:rPr>
                <w:sz w:val="20"/>
                <w:szCs w:val="20"/>
              </w:rPr>
              <w:t>a</w:t>
            </w:r>
            <w:r w:rsidRPr="00BB1C6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</w:t>
            </w:r>
            <w:r w:rsidRPr="00BB1C6F">
              <w:rPr>
                <w:sz w:val="20"/>
                <w:szCs w:val="20"/>
              </w:rPr>
              <w:lastRenderedPageBreak/>
              <w:t>v</w:t>
            </w:r>
            <w:r w:rsidR="004338A3">
              <w:rPr>
                <w:sz w:val="20"/>
                <w:szCs w:val="20"/>
              </w:rPr>
              <w:t> </w:t>
            </w:r>
            <w:r w:rsidRPr="00BB1C6F">
              <w:rPr>
                <w:sz w:val="20"/>
                <w:szCs w:val="20"/>
              </w:rPr>
              <w:t xml:space="preserve">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587843" w:rsidRPr="00F57E12" w14:paraId="5BD85ED0" w14:textId="77777777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914539C" w14:textId="77777777" w:rsidR="00587843" w:rsidRPr="00915F4C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915F4C"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14:paraId="330AC4C4" w14:textId="77777777" w:rsidTr="00587843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A34EC" w14:textId="7BE22A4F"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915F4C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C913D1">
              <w:rPr>
                <w:color w:val="000000"/>
                <w:sz w:val="20"/>
                <w:szCs w:val="20"/>
              </w:rPr>
              <w:t> </w:t>
            </w:r>
            <w:r w:rsidRPr="00915F4C">
              <w:rPr>
                <w:color w:val="000000"/>
                <w:sz w:val="20"/>
                <w:szCs w:val="20"/>
              </w:rPr>
              <w:t xml:space="preserve">systému MS2014+. </w:t>
            </w:r>
          </w:p>
          <w:p w14:paraId="008CEFAB" w14:textId="77777777"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915F4C">
              <w:rPr>
                <w:color w:val="000000"/>
                <w:sz w:val="20"/>
                <w:szCs w:val="20"/>
              </w:rPr>
              <w:t>Dosaženou hodnotu vykazuje v systému MS2014+ prostřednictvím:</w:t>
            </w:r>
          </w:p>
          <w:p w14:paraId="39D333DC" w14:textId="77777777" w:rsidR="00587843" w:rsidRPr="00915F4C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Průběžných zpráv o realizaci projektu</w:t>
            </w:r>
          </w:p>
          <w:p w14:paraId="7679565D" w14:textId="77777777" w:rsidR="00587843" w:rsidRPr="00915F4C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Závěrečné zprávy o realizaci projektu</w:t>
            </w:r>
            <w:r w:rsidRPr="00915F4C" w:rsidDel="00974639">
              <w:rPr>
                <w:sz w:val="20"/>
                <w:szCs w:val="20"/>
              </w:rPr>
              <w:t xml:space="preserve"> </w:t>
            </w:r>
          </w:p>
          <w:p w14:paraId="27F3121E" w14:textId="77777777"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</w:rPr>
            </w:pPr>
            <w:r w:rsidRPr="00915F4C">
              <w:rPr>
                <w:sz w:val="20"/>
                <w:szCs w:val="20"/>
              </w:rPr>
              <w:t>Zpráv o udržitelnosti projektu</w:t>
            </w:r>
          </w:p>
        </w:tc>
      </w:tr>
    </w:tbl>
    <w:p w14:paraId="3F2B7210" w14:textId="77777777" w:rsidR="00587843" w:rsidRDefault="00587843">
      <w:pPr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br w:type="page"/>
      </w:r>
    </w:p>
    <w:tbl>
      <w:tblPr>
        <w:tblpPr w:leftFromText="141" w:rightFromText="141" w:vertAnchor="text" w:horzAnchor="margin" w:tblpY="68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14:paraId="6D11002F" w14:textId="77777777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bookmarkEnd w:id="0"/>
          <w:bookmarkEnd w:id="1"/>
          <w:bookmarkEnd w:id="2"/>
          <w:bookmarkEnd w:id="3"/>
          <w:bookmarkEnd w:id="4"/>
          <w:p w14:paraId="00C3A802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14:paraId="16A02B05" w14:textId="77777777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040F267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057105BA" w14:textId="77777777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99F0AE0" w14:textId="77777777"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ED5C2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parkovacích míst pro jízdní kola</w:t>
            </w:r>
          </w:p>
        </w:tc>
      </w:tr>
      <w:tr w:rsidR="00587843" w:rsidRPr="00F57E12" w14:paraId="2C14D30B" w14:textId="77777777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BF55595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DE12AFD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23B2165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17D18B3" w14:textId="77777777"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729725B" w14:textId="77777777"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14:paraId="38C1F5AB" w14:textId="77777777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1980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ED5C2E">
              <w:rPr>
                <w:b/>
                <w:bCs/>
                <w:color w:val="000000"/>
              </w:rPr>
              <w:t>7 64 01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086E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685C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69C4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23D99" w14:textId="77777777"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14:paraId="386F0205" w14:textId="77777777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3FA67DB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31DFEEB3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5AD3BE8" w14:textId="77777777" w:rsidR="00587843" w:rsidRPr="00F57E12" w:rsidRDefault="00587843" w:rsidP="00587843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ED5C2E">
              <w:rPr>
                <w:sz w:val="20"/>
                <w:szCs w:val="20"/>
              </w:rPr>
              <w:t xml:space="preserve">Jedná se o zařízení určená k parkování (krátkodobému, střednědobému a dlouhodobému) </w:t>
            </w:r>
            <w:r>
              <w:rPr>
                <w:sz w:val="20"/>
                <w:szCs w:val="20"/>
              </w:rPr>
              <w:t>jízdních kol</w:t>
            </w:r>
            <w:r w:rsidRPr="00ED5C2E">
              <w:rPr>
                <w:sz w:val="20"/>
                <w:szCs w:val="20"/>
              </w:rPr>
              <w:t>. Měrnou jednotkou jsou jednotlivá parkovací místa zajištěná např. formou stojanů.</w:t>
            </w:r>
          </w:p>
        </w:tc>
      </w:tr>
      <w:tr w:rsidR="00587843" w:rsidRPr="00F57E12" w14:paraId="635382F5" w14:textId="77777777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D52470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9E3CD9A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14:paraId="6ADC11C4" w14:textId="77777777" w:rsidTr="00587843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CE11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952C94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14:paraId="4CDDFDFC" w14:textId="77777777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7A26A8A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14:paraId="7F4C07DE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7B657BD1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587843" w:rsidRPr="00F57E12" w14:paraId="26B9E6E4" w14:textId="77777777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2D6D519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F57E12" w14:paraId="29609C28" w14:textId="77777777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4DB8541" w14:textId="77777777" w:rsidR="00587843" w:rsidRPr="0091387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 projekty, jejichž součástí je</w:t>
            </w:r>
            <w:r>
              <w:rPr>
                <w:sz w:val="20"/>
                <w:szCs w:val="20"/>
              </w:rPr>
              <w:t xml:space="preserve"> realizace parkovacích ploch pro jízdní kola</w:t>
            </w:r>
            <w:r w:rsidRPr="005F73C9">
              <w:rPr>
                <w:sz w:val="20"/>
                <w:szCs w:val="20"/>
              </w:rPr>
              <w:t>.</w:t>
            </w:r>
          </w:p>
          <w:p w14:paraId="3493F2F1" w14:textId="77777777" w:rsidR="00587843" w:rsidRPr="0099087B" w:rsidRDefault="00587843" w:rsidP="00285CA0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vytvořených nebo upravených parkovacích míst pro jízdní kola, zajištěných prostřednictvím pevných stojanů, uzamykatelných boxů, úschoven, částí parkovacích domů a parkovacích věží pro jízdní kola. Žadatel se zavazuje stanovenou hodnotu naplnit k datu ukončení realizace projektu.</w:t>
            </w:r>
          </w:p>
          <w:p w14:paraId="2ADBE9B5" w14:textId="77777777" w:rsidR="00587843" w:rsidRDefault="00587843" w:rsidP="00285CA0">
            <w:pPr>
              <w:ind w:lef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Dosažená hodnota: </w:t>
            </w:r>
            <w:r>
              <w:rPr>
                <w:sz w:val="20"/>
                <w:szCs w:val="20"/>
              </w:rPr>
              <w:t xml:space="preserve">skutečný počet </w:t>
            </w:r>
            <w:r>
              <w:rPr>
                <w:color w:val="000000"/>
                <w:sz w:val="20"/>
                <w:szCs w:val="20"/>
              </w:rPr>
              <w:t xml:space="preserve">vytvořených nebo upravených </w:t>
            </w:r>
            <w:r>
              <w:rPr>
                <w:sz w:val="20"/>
                <w:szCs w:val="20"/>
              </w:rPr>
              <w:t>parkovacích míst pro jízdní kola, zajištěných prostřednictvím pevných stojanů, uzamykatelných boxů na jízdní kola, úschoven, částí parkovacích domů a parkovacích věží pro jízdní kola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1A19CA5" w14:textId="77777777" w:rsidR="00587843" w:rsidRPr="0091387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</w:t>
            </w:r>
            <w:r>
              <w:rPr>
                <w:sz w:val="20"/>
              </w:rPr>
              <w:t>dnoty indikátoru se nezapočítávají parkovací místa financovaná z nezpůsobilých výdajů projektu.</w:t>
            </w:r>
          </w:p>
          <w:p w14:paraId="40034241" w14:textId="10F73310" w:rsidR="00587843" w:rsidRPr="00764007" w:rsidRDefault="00587843" w:rsidP="00587843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5811890F" w14:textId="526244E2" w:rsidR="0058784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</w:t>
            </w:r>
            <w:r>
              <w:rPr>
                <w:sz w:val="20"/>
                <w:szCs w:val="20"/>
              </w:rPr>
              <w:t>a</w:t>
            </w:r>
            <w:r w:rsidRPr="00BB1C6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v</w:t>
            </w:r>
            <w:r w:rsidR="004338A3">
              <w:rPr>
                <w:sz w:val="20"/>
                <w:szCs w:val="20"/>
              </w:rPr>
              <w:t> </w:t>
            </w:r>
            <w:r w:rsidRPr="00BB1C6F">
              <w:rPr>
                <w:sz w:val="20"/>
                <w:szCs w:val="20"/>
              </w:rPr>
              <w:t xml:space="preserve">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  <w:p w14:paraId="33C3EF4C" w14:textId="77777777" w:rsidR="0058784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  <w:p w14:paraId="7EC01132" w14:textId="77777777" w:rsidR="00587843" w:rsidRPr="008226DE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</w:tc>
      </w:tr>
      <w:tr w:rsidR="00587843" w:rsidRPr="00F57E12" w14:paraId="708B87DF" w14:textId="77777777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A538112" w14:textId="77777777" w:rsidR="00587843" w:rsidRPr="00F57E12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14:paraId="1C6EB26B" w14:textId="77777777" w:rsidTr="00587843">
        <w:trPr>
          <w:trHeight w:val="244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86B6D" w14:textId="5FF01EB3" w:rsidR="00587843" w:rsidRPr="000E2AF2" w:rsidRDefault="00587843" w:rsidP="00285CA0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766E0059" w14:textId="77777777"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751048AB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0CC0CF85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5BE5DD7C" w14:textId="77777777" w:rsidR="00587843" w:rsidRPr="008226DE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5DBF7A93" w14:textId="77777777" w:rsidR="00587843" w:rsidRDefault="00587843">
      <w:pPr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br w:type="page"/>
      </w:r>
    </w:p>
    <w:tbl>
      <w:tblPr>
        <w:tblpPr w:leftFromText="141" w:rightFromText="141" w:vertAnchor="text" w:tblpY="34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14:paraId="27564C3C" w14:textId="77777777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15CE5317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14:paraId="7907D1FC" w14:textId="77777777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4B75A16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3ECC00A4" w14:textId="77777777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0FA224" w14:textId="77777777"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8108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osob přepravených veřejnou dopravou</w:t>
            </w:r>
          </w:p>
        </w:tc>
      </w:tr>
      <w:tr w:rsidR="00587843" w:rsidRPr="00F57E12" w14:paraId="11D43527" w14:textId="77777777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3416AF2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FB097CF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4BCCE7E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A4AA000" w14:textId="77777777"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BE8ECE0" w14:textId="77777777"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14:paraId="6A0E2958" w14:textId="77777777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E29A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810858">
              <w:rPr>
                <w:b/>
                <w:bCs/>
                <w:color w:val="000000"/>
              </w:rPr>
              <w:t>7 51 10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E1B8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D64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Osoby/rok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E3D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F4385" w14:textId="77777777"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14:paraId="242BCC6A" w14:textId="77777777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55019E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22D7408A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F4DB2F5" w14:textId="615DFC39" w:rsidR="00587843" w:rsidRPr="00F57E12" w:rsidRDefault="00587843" w:rsidP="00C913D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10858">
              <w:rPr>
                <w:sz w:val="20"/>
                <w:szCs w:val="20"/>
              </w:rPr>
              <w:t>oč</w:t>
            </w:r>
            <w:r>
              <w:rPr>
                <w:sz w:val="20"/>
                <w:szCs w:val="20"/>
              </w:rPr>
              <w:t>e</w:t>
            </w:r>
            <w:r w:rsidRPr="00810858">
              <w:rPr>
                <w:sz w:val="20"/>
                <w:szCs w:val="20"/>
              </w:rPr>
              <w:t>t osob přepravených veřejnou dopravou zjištěný reprezentativním sčítáním (či více sčítáními) v</w:t>
            </w:r>
            <w:r w:rsidR="004338A3">
              <w:rPr>
                <w:sz w:val="20"/>
                <w:szCs w:val="20"/>
              </w:rPr>
              <w:t> </w:t>
            </w:r>
            <w:r w:rsidRPr="00810858">
              <w:rPr>
                <w:sz w:val="20"/>
                <w:szCs w:val="20"/>
              </w:rPr>
              <w:t xml:space="preserve">průběhu roku. </w:t>
            </w:r>
            <w:r>
              <w:rPr>
                <w:sz w:val="20"/>
                <w:szCs w:val="20"/>
              </w:rPr>
              <w:t>Z</w:t>
            </w:r>
            <w:r w:rsidRPr="00810858">
              <w:rPr>
                <w:sz w:val="20"/>
                <w:szCs w:val="20"/>
              </w:rPr>
              <w:t>a zlepšený úsek se považuje i úsek s realizovanými opatřeními pro preferenci povrchové městské veřejné dopravy v uličním provozu. V případě přínosu nového záchytného parkoviště P+R jde o</w:t>
            </w:r>
            <w:r w:rsidR="004338A3">
              <w:rPr>
                <w:sz w:val="20"/>
                <w:szCs w:val="20"/>
              </w:rPr>
              <w:t> </w:t>
            </w:r>
            <w:r w:rsidRPr="00810858">
              <w:rPr>
                <w:sz w:val="20"/>
                <w:szCs w:val="20"/>
              </w:rPr>
              <w:t>počet osob přestupujících z parkoviště P+R na navazující veřejnou dopravu (tj. cílovou hodnotou indikátoru, přičemž výchozí hodnota indikátoru bude nulová).</w:t>
            </w:r>
          </w:p>
        </w:tc>
      </w:tr>
      <w:tr w:rsidR="00587843" w:rsidRPr="00F57E12" w14:paraId="4509F13B" w14:textId="77777777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D3B850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352A828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14:paraId="2F085314" w14:textId="77777777" w:rsidTr="00587843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3116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FFEBDE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176F7E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14:paraId="49B955E8" w14:textId="77777777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D67FF48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14:paraId="2DBA9E13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66217CB8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U</w:t>
            </w:r>
            <w:r w:rsidRPr="00F57E12">
              <w:rPr>
                <w:b/>
                <w:bCs/>
              </w:rPr>
              <w:t>rčená žadatelem</w:t>
            </w:r>
          </w:p>
        </w:tc>
      </w:tr>
      <w:tr w:rsidR="00587843" w:rsidRPr="00F57E12" w14:paraId="5127E8B7" w14:textId="77777777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B4F02B6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F57E12" w14:paraId="450ACF3D" w14:textId="77777777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317A434" w14:textId="3AF1658D" w:rsidR="0058784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 xml:space="preserve"> pouze </w:t>
            </w:r>
            <w:r w:rsidRPr="00913873">
              <w:rPr>
                <w:sz w:val="20"/>
                <w:szCs w:val="20"/>
              </w:rPr>
              <w:t>pro projekty</w:t>
            </w:r>
            <w:r>
              <w:rPr>
                <w:sz w:val="20"/>
                <w:szCs w:val="20"/>
              </w:rPr>
              <w:t xml:space="preserve"> terminálů a samostatných parkovacích systémů P+R, K+R nebo B+R. Projekty řešící samostatný parkovací systém P+G tento indikátor nevykazují.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Výchozí hodnota a dosažená hodnota je zjišťována reprezentativním sčítáním cestujících v prostoru terminálu nebo v prostoru stávající samostatné zastávky, stanice nebo přestupního uzlu, na které je v přímé vazbě navržen samostatný parkovací systém P+R, K+R nebo B+R</w:t>
            </w:r>
            <w:r w:rsidRPr="00B65749">
              <w:rPr>
                <w:sz w:val="20"/>
                <w:szCs w:val="20"/>
              </w:rPr>
              <w:t xml:space="preserve">. </w:t>
            </w:r>
          </w:p>
          <w:p w14:paraId="3D030BB3" w14:textId="187ECA97" w:rsidR="0058784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Sčítání za účelem zjištění výchozí hodnoty </w:t>
            </w:r>
            <w:r w:rsidRPr="00B65749">
              <w:rPr>
                <w:sz w:val="20"/>
                <w:szCs w:val="20"/>
              </w:rPr>
              <w:t>nesmí být starší pěti let před podáním projektové žádosti</w:t>
            </w:r>
            <w:r>
              <w:rPr>
                <w:sz w:val="20"/>
                <w:szCs w:val="20"/>
              </w:rPr>
              <w:t>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B65749">
              <w:rPr>
                <w:sz w:val="20"/>
                <w:szCs w:val="20"/>
              </w:rPr>
              <w:t xml:space="preserve">čítání za účelem zjištění dosažené hodnoty je nutné provést </w:t>
            </w:r>
            <w:r w:rsidR="007505EE">
              <w:rPr>
                <w:sz w:val="20"/>
                <w:szCs w:val="20"/>
              </w:rPr>
              <w:t xml:space="preserve">do 12 měsíců od ukončení realizace projektu a vykázat v </w:t>
            </w:r>
            <w:r>
              <w:rPr>
                <w:sz w:val="20"/>
                <w:szCs w:val="20"/>
              </w:rPr>
              <w:t>první zpráv</w:t>
            </w:r>
            <w:r w:rsidR="007505EE">
              <w:rPr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 xml:space="preserve"> o udržitelnosti projektu.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14:paraId="38E49D55" w14:textId="77777777" w:rsidR="00587843" w:rsidRPr="00C36188" w:rsidRDefault="00587843" w:rsidP="00587843">
            <w:pPr>
              <w:spacing w:before="120" w:after="120"/>
              <w:ind w:left="170" w:right="170"/>
              <w:jc w:val="both"/>
            </w:pPr>
            <w:r>
              <w:rPr>
                <w:sz w:val="20"/>
                <w:szCs w:val="20"/>
              </w:rPr>
              <w:t>O</w:t>
            </w:r>
            <w:r w:rsidRPr="00B65749">
              <w:rPr>
                <w:sz w:val="20"/>
                <w:szCs w:val="20"/>
              </w:rPr>
              <w:t>bě sčítání musí být vzájemně porovnatelná</w:t>
            </w:r>
            <w:r>
              <w:rPr>
                <w:sz w:val="20"/>
                <w:szCs w:val="20"/>
              </w:rPr>
              <w:t xml:space="preserve">, provedená ve stejném prostoru a zpracována stejnou metodou. 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14:paraId="3574A56A" w14:textId="16CE9927" w:rsidR="00587843" w:rsidRDefault="00587843" w:rsidP="007C6078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počet osob přepravených veřejnou dopravou v prostoru terminálu nebo v prostoru stávající samostatné zastávky, stanice nebo přestupního uzlu, na které je v přímé vazbě navržen samostatný parkovací systém P+R, K+R nebo B+R. </w:t>
            </w:r>
            <w:r w:rsidR="00C12042" w:rsidRPr="00C12042">
              <w:rPr>
                <w:sz w:val="20"/>
                <w:szCs w:val="20"/>
              </w:rPr>
              <w:t>Upozorňujeme, že stanovené datum výchozí hodnoty indikátoru se musí nově ve všech případech rovnat datu podání žádosti o podporu</w:t>
            </w:r>
            <w:r w:rsidR="00C12042">
              <w:rPr>
                <w:sz w:val="20"/>
                <w:szCs w:val="20"/>
              </w:rPr>
              <w:t xml:space="preserve"> / projektu, nebo mu předcházet.</w:t>
            </w:r>
          </w:p>
          <w:p w14:paraId="56FA9DB0" w14:textId="77777777" w:rsidR="00587843" w:rsidRPr="00BB7CC4" w:rsidRDefault="00587843" w:rsidP="007C6078">
            <w:pPr>
              <w:spacing w:before="120" w:after="120"/>
              <w:ind w:left="170" w:right="170"/>
              <w:jc w:val="both"/>
            </w:pPr>
            <w:r w:rsidRPr="00B65749">
              <w:rPr>
                <w:sz w:val="20"/>
                <w:szCs w:val="20"/>
              </w:rPr>
              <w:t>Pokud</w:t>
            </w:r>
            <w:r>
              <w:rPr>
                <w:sz w:val="20"/>
                <w:szCs w:val="20"/>
              </w:rPr>
              <w:t xml:space="preserve"> je předmětem projektu realizace terminálu, fungujícího jako nový přestupní uzel v systému veřejné </w:t>
            </w:r>
            <w:r>
              <w:rPr>
                <w:sz w:val="20"/>
                <w:szCs w:val="20"/>
              </w:rPr>
              <w:lastRenderedPageBreak/>
              <w:t>dopravy, bude výchozí hodnota 0</w:t>
            </w:r>
            <w:r w:rsidRPr="00B65749">
              <w:rPr>
                <w:sz w:val="20"/>
                <w:szCs w:val="20"/>
              </w:rPr>
              <w:t>.</w:t>
            </w:r>
          </w:p>
          <w:p w14:paraId="67803C08" w14:textId="77777777" w:rsidR="00587843" w:rsidRDefault="00587843" w:rsidP="007C6078">
            <w:pPr>
              <w:spacing w:before="120" w:after="120"/>
              <w:ind w:left="170" w:right="170"/>
              <w:jc w:val="both"/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osob přepravených veřejnou dopravou v prostoru terminálu nebo v prostoru stávající samostatné zastávky, stanice nebo přestupního uzlu, na které je v přímé vazbě navržen samostatný parkovací systém P+R, K+R nebo B+R. Stanovená cílová hodnota je orientační a příjemce ji není vázán naplnit.</w:t>
            </w:r>
            <w:r w:rsidR="007505EE">
              <w:rPr>
                <w:sz w:val="20"/>
                <w:szCs w:val="20"/>
              </w:rPr>
              <w:t xml:space="preserve"> Žadatel zadává datum cílové hodnoty, které následuje 12 měsíců od plánovaného data ukončení realizace projektu.</w:t>
            </w:r>
          </w:p>
          <w:p w14:paraId="3D8BE99B" w14:textId="4007D669" w:rsidR="00587843" w:rsidRDefault="00587843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426B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skutečný počet osob přepravených veřejnou dopravou v prostoru terminálu nebo v prostoru stávající samostatné zastávky, stanice nebo přestupního uzlu, na které je v přímé vazbě navržen samostatný parkovací systém P+R, K+R nebo B+R. Hodnotu je žadatel povinen vykázat v první zprávě o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udržitelnosti projektu.</w:t>
            </w:r>
          </w:p>
          <w:p w14:paraId="3B8DABF6" w14:textId="77777777" w:rsidR="00587843" w:rsidRPr="00BB7CC4" w:rsidRDefault="00587843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,</w:t>
            </w:r>
            <w:r w:rsidRPr="003422E8">
              <w:rPr>
                <w:sz w:val="20"/>
                <w:szCs w:val="20"/>
              </w:rPr>
              <w:t xml:space="preserve"> proto není plnění indikátoru předmětem sankcí.</w:t>
            </w:r>
          </w:p>
        </w:tc>
      </w:tr>
      <w:tr w:rsidR="00587843" w:rsidRPr="00F57E12" w14:paraId="567265A8" w14:textId="77777777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ABD2CF4" w14:textId="77777777" w:rsidR="00587843" w:rsidRPr="00F57E12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14:paraId="639F4638" w14:textId="77777777" w:rsidTr="00587843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B2AFC6" w14:textId="01D8FF52"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4B0E45A7" w14:textId="77777777"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7D92E1EB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06F1F4CD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0B491CD7" w14:textId="77777777" w:rsidR="00587843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0EE418B5" w14:textId="77777777" w:rsidR="00587843" w:rsidRPr="00F57E1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Výpočet:</w:t>
            </w:r>
          </w:p>
          <w:p w14:paraId="5F949EDC" w14:textId="77777777" w:rsidR="00587843" w:rsidRPr="00F57E12" w:rsidRDefault="00587843" w:rsidP="00587843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sz w:val="20"/>
                <w:szCs w:val="20"/>
              </w:rPr>
              <w:t>Výchozí a dosažená hodnota indikátoru bude zjišťována reprezentativním sčítáním.</w:t>
            </w:r>
          </w:p>
        </w:tc>
      </w:tr>
    </w:tbl>
    <w:p w14:paraId="7055CC8D" w14:textId="77777777" w:rsidR="00F25AD9" w:rsidRDefault="00F25AD9" w:rsidP="004C15AB">
      <w:pPr>
        <w:rPr>
          <w:rFonts w:ascii="Arial" w:hAnsi="Arial" w:cs="Arial"/>
          <w:b/>
          <w:sz w:val="20"/>
          <w:szCs w:val="20"/>
        </w:rPr>
      </w:pPr>
    </w:p>
    <w:p w14:paraId="269520E1" w14:textId="77777777" w:rsidR="009C48D6" w:rsidRDefault="009C48D6" w:rsidP="004C15AB">
      <w:pPr>
        <w:rPr>
          <w:rFonts w:ascii="Arial" w:hAnsi="Arial" w:cs="Arial"/>
          <w:b/>
          <w:sz w:val="20"/>
          <w:szCs w:val="20"/>
        </w:rPr>
        <w:sectPr w:rsidR="009C48D6" w:rsidSect="00C835D3">
          <w:headerReference w:type="default" r:id="rId8"/>
          <w:footerReference w:type="default" r:id="rId9"/>
          <w:pgSz w:w="11906" w:h="16838"/>
          <w:pgMar w:top="2377" w:right="1417" w:bottom="1417" w:left="1417" w:header="708" w:footer="708" w:gutter="0"/>
          <w:cols w:space="708"/>
          <w:docGrid w:linePitch="360"/>
        </w:sectPr>
      </w:pPr>
    </w:p>
    <w:p w14:paraId="421B21B1" w14:textId="77777777" w:rsidR="00F25AD9" w:rsidRPr="00ED4B93" w:rsidRDefault="00621FE1" w:rsidP="004C15AB">
      <w:pPr>
        <w:rPr>
          <w:rFonts w:cs="Arial"/>
          <w:b/>
          <w:sz w:val="28"/>
          <w:szCs w:val="28"/>
        </w:rPr>
      </w:pPr>
      <w:r w:rsidRPr="00ED4B93">
        <w:rPr>
          <w:rFonts w:cs="Arial"/>
          <w:b/>
          <w:sz w:val="28"/>
          <w:szCs w:val="28"/>
        </w:rPr>
        <w:lastRenderedPageBreak/>
        <w:t xml:space="preserve">VAZEBNÍ TABULKA pro </w:t>
      </w:r>
      <w:r w:rsidRPr="00ED4B93">
        <w:rPr>
          <w:b/>
          <w:sz w:val="28"/>
          <w:szCs w:val="28"/>
        </w:rPr>
        <w:t>aktivitu“</w:t>
      </w:r>
      <w:r w:rsidR="00ED4B93">
        <w:rPr>
          <w:b/>
          <w:sz w:val="28"/>
          <w:szCs w:val="28"/>
        </w:rPr>
        <w:t xml:space="preserve"> </w:t>
      </w:r>
      <w:r w:rsidRPr="00ED4B93">
        <w:rPr>
          <w:b/>
          <w:sz w:val="28"/>
          <w:szCs w:val="28"/>
        </w:rPr>
        <w:t>Terminály a parkovací systémy“</w:t>
      </w:r>
    </w:p>
    <w:tbl>
      <w:tblPr>
        <w:tblW w:w="131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134"/>
        <w:gridCol w:w="7086"/>
        <w:gridCol w:w="1285"/>
        <w:gridCol w:w="1475"/>
      </w:tblGrid>
      <w:tr w:rsidR="009F0E86" w:rsidRPr="009C48D6" w14:paraId="7D7ADED2" w14:textId="77777777" w:rsidTr="00ED4B93">
        <w:trPr>
          <w:trHeight w:val="744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867DB" w14:textId="77777777" w:rsidR="009F0E86" w:rsidRPr="009F0E8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Číslo aktivity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0D41" w14:textId="77777777" w:rsidR="009F0E86" w:rsidRPr="00ED4B93" w:rsidRDefault="009F0E86" w:rsidP="00EA04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Náplň projektu</w:t>
            </w:r>
          </w:p>
        </w:tc>
        <w:tc>
          <w:tcPr>
            <w:tcW w:w="70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6880" w14:textId="77777777" w:rsidR="009F0E86" w:rsidRPr="00ED4B93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Povinné indikátory k výběru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FA4C" w14:textId="77777777" w:rsidR="009F0E86" w:rsidRPr="00ED4B93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Povinný k naplnění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22EE" w14:textId="77777777" w:rsidR="009F0E86" w:rsidRPr="00ED4B93" w:rsidRDefault="009F0E86" w:rsidP="00902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Možnost kombinace </w:t>
            </w:r>
          </w:p>
        </w:tc>
      </w:tr>
      <w:tr w:rsidR="009F0E86" w:rsidRPr="009C48D6" w14:paraId="7137204E" w14:textId="77777777" w:rsidTr="00ED4B93">
        <w:trPr>
          <w:trHeight w:val="716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320BD" w14:textId="77777777"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5A3" w14:textId="77777777" w:rsidR="009F0E86" w:rsidRPr="009C48D6" w:rsidRDefault="009F0E86" w:rsidP="00586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terminálů</w:t>
            </w:r>
          </w:p>
        </w:tc>
        <w:tc>
          <w:tcPr>
            <w:tcW w:w="7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CC78" w14:textId="77777777" w:rsidR="009F0E86" w:rsidRPr="009C48D6" w:rsidRDefault="009F0E86" w:rsidP="00586125">
            <w:pPr>
              <w:spacing w:after="0" w:line="240" w:lineRule="auto"/>
              <w:ind w:leftChars="96" w:left="21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5861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nových nebo rekonstruovaných přestupních terminálů ve veřejné dopravě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F3FB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BC99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rekonstrukcí, modernizací a výstavbou parkovacích systémů P+R, K+R a B+R</w:t>
            </w:r>
          </w:p>
        </w:tc>
      </w:tr>
      <w:tr w:rsidR="009F0E86" w:rsidRPr="009C48D6" w14:paraId="6396C74C" w14:textId="77777777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DF51A9" w14:textId="77777777"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CAE05" w14:textId="77777777" w:rsidR="009F0E86" w:rsidRPr="009C48D6" w:rsidRDefault="009F0E86" w:rsidP="009C4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9F66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04FD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83E31" w14:textId="77777777" w:rsidR="009F0E86" w:rsidRPr="009C48D6" w:rsidRDefault="009F0E86" w:rsidP="009C4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14:paraId="6EE5178A" w14:textId="77777777" w:rsidTr="00ED4B93">
        <w:trPr>
          <w:trHeight w:val="71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68A539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43CB" w14:textId="77777777" w:rsidR="009F0E86" w:rsidRPr="009C48D6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parkovacích systémů P+R, K+R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6C2E" w14:textId="77777777" w:rsidR="009F0E86" w:rsidRPr="009C48D6" w:rsidRDefault="009F0E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2920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vytvořených parkovacích míst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0BB6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50747" w14:textId="77777777" w:rsidR="009F0E86" w:rsidRPr="009C48D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Ano, lze kombinovat s rekonstrukcí, modernizací a výstavbou terminálů a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rekonstrukcí, modernizací a výstavbou parkovacích systémů B+R</w:t>
            </w:r>
          </w:p>
        </w:tc>
      </w:tr>
      <w:tr w:rsidR="009F0E86" w:rsidRPr="009C48D6" w14:paraId="5F20B652" w14:textId="77777777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C506C9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23E63" w14:textId="77777777" w:rsidR="009F0E8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2EFD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5D46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A23D92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14:paraId="0DCF9B2F" w14:textId="77777777" w:rsidTr="00ED4B93">
        <w:trPr>
          <w:trHeight w:val="71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FF4F0B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1803" w14:textId="77777777" w:rsidR="009F0E86" w:rsidRPr="009C48D6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parkovacích systémů B+R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FBB6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64 01  -  Počet parkovacích míst pro jízdní kola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600A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74144" w14:textId="77777777" w:rsidR="009F0E86" w:rsidRPr="009C48D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Ano, lze kombinovat s rekonstrukcí, modernizací a výstavbou terminálů a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rekonstrukcí, modernizací a výstavbou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parkovacích systémů P+R, K+R</w:t>
            </w:r>
          </w:p>
        </w:tc>
      </w:tr>
      <w:tr w:rsidR="009F0E86" w:rsidRPr="009C48D6" w14:paraId="38127B69" w14:textId="77777777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810681" w14:textId="77777777"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3780E" w14:textId="77777777" w:rsidR="009F0E86" w:rsidRPr="009C48D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67DC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344B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350521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14:paraId="4110B3EF" w14:textId="77777777" w:rsidTr="00ED4B93">
        <w:trPr>
          <w:trHeight w:val="7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153C5E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9B818" w14:textId="77777777" w:rsidR="009F0E86" w:rsidRPr="009C48D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Rekonstrukce, modernizace a výstavba </w:t>
            </w: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samostatných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parkovacích systémů P+G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14E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2920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vytvořených parkovacích míst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6D34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24513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</w:tr>
      <w:tr w:rsidR="009F0E86" w:rsidRPr="009C48D6" w14:paraId="4D1C2536" w14:textId="77777777" w:rsidTr="00ED4B93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CFC" w14:textId="77777777" w:rsidR="009F0E86" w:rsidRPr="00586125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3C20" w14:textId="77777777" w:rsidR="009F0E86" w:rsidRPr="00586125" w:rsidDel="00B42531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realizace parkovacích míst pro jízdní kola v rámci samostatného parkovacího systému P+G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6387" w14:textId="77777777" w:rsidR="009F0E86" w:rsidRPr="00586125" w:rsidRDefault="009F0E86" w:rsidP="00586125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7 64 01  -  Počet parkovacích míst pro jízdní kola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0BF5" w14:textId="77777777" w:rsidR="009F0E86" w:rsidRPr="00586125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B8EA6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BCC5737" w14:textId="77777777" w:rsidR="009C48D6" w:rsidRDefault="009C48D6" w:rsidP="004C15AB">
      <w:pPr>
        <w:rPr>
          <w:rFonts w:ascii="Arial" w:hAnsi="Arial" w:cs="Arial"/>
          <w:b/>
          <w:sz w:val="20"/>
          <w:szCs w:val="20"/>
        </w:rPr>
      </w:pPr>
    </w:p>
    <w:p w14:paraId="793AC792" w14:textId="77777777" w:rsidR="002D603F" w:rsidRDefault="002D603F" w:rsidP="004C15AB">
      <w:pPr>
        <w:rPr>
          <w:rFonts w:ascii="Arial" w:hAnsi="Arial" w:cs="Arial"/>
          <w:b/>
          <w:sz w:val="20"/>
          <w:szCs w:val="20"/>
        </w:rPr>
        <w:sectPr w:rsidR="002D603F" w:rsidSect="00586125">
          <w:pgSz w:w="16838" w:h="11906" w:orient="landscape"/>
          <w:pgMar w:top="1418" w:right="2376" w:bottom="1418" w:left="1418" w:header="709" w:footer="709" w:gutter="0"/>
          <w:cols w:space="708"/>
          <w:docGrid w:linePitch="360"/>
        </w:sectPr>
      </w:pPr>
    </w:p>
    <w:p w14:paraId="5F073023" w14:textId="77777777" w:rsidR="002D603F" w:rsidRPr="008A3641" w:rsidRDefault="00F576D3" w:rsidP="007C6078">
      <w:pPr>
        <w:spacing w:after="0"/>
        <w:rPr>
          <w:b/>
          <w:sz w:val="24"/>
          <w:szCs w:val="24"/>
        </w:rPr>
      </w:pPr>
      <w:r w:rsidRPr="008A3641">
        <w:rPr>
          <w:b/>
          <w:sz w:val="24"/>
          <w:szCs w:val="24"/>
        </w:rPr>
        <w:lastRenderedPageBreak/>
        <w:t xml:space="preserve">Pro aktivitu </w:t>
      </w:r>
      <w:r w:rsidR="00EA048A" w:rsidRPr="008A3641">
        <w:rPr>
          <w:b/>
          <w:sz w:val="24"/>
          <w:szCs w:val="24"/>
        </w:rPr>
        <w:t>„</w:t>
      </w:r>
      <w:r w:rsidRPr="008A3641">
        <w:rPr>
          <w:b/>
          <w:sz w:val="24"/>
          <w:szCs w:val="24"/>
        </w:rPr>
        <w:t>Telematika pro veřejnou dopravu</w:t>
      </w:r>
      <w:r w:rsidR="00EA048A" w:rsidRPr="008A3641">
        <w:rPr>
          <w:b/>
          <w:sz w:val="24"/>
          <w:szCs w:val="24"/>
        </w:rPr>
        <w:t>“</w:t>
      </w:r>
      <w:r w:rsidRPr="008A3641">
        <w:rPr>
          <w:b/>
          <w:sz w:val="24"/>
          <w:szCs w:val="24"/>
        </w:rPr>
        <w:t xml:space="preserve"> je relevantní následující indikátor: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BB46C5" w:rsidRPr="00F57E12" w14:paraId="5CB271BD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31CE918C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BB46C5" w:rsidRPr="00F57E12" w14:paraId="6AB46EB4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4C23D3F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B46C5" w:rsidRPr="00F57E12" w14:paraId="744C053C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707E0E9" w14:textId="77777777" w:rsidR="00BB46C5" w:rsidRPr="00F57E12" w:rsidRDefault="00BB46C5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zařízení a služeb pro řízení dopravy</w:t>
            </w:r>
          </w:p>
        </w:tc>
      </w:tr>
      <w:tr w:rsidR="00BB46C5" w:rsidRPr="00F57E12" w14:paraId="33272F51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371D0A6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05E41E6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B130D57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4F394F4" w14:textId="77777777" w:rsidR="00BB46C5" w:rsidRPr="00F57E12" w:rsidRDefault="00BB46C5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FA62005" w14:textId="77777777" w:rsidR="00BB46C5" w:rsidRPr="00F57E12" w:rsidRDefault="00BB46C5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BB46C5" w:rsidRPr="00F57E12" w14:paraId="6CADDD9B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058E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8A3641">
              <w:rPr>
                <w:b/>
                <w:bCs/>
                <w:color w:val="000000"/>
              </w:rPr>
              <w:t>7 04 01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C4DE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5FE7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B65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CB70A9" w14:textId="77777777" w:rsidR="00BB46C5" w:rsidRPr="00F57E12" w:rsidRDefault="00BB46C5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BB46C5" w:rsidRPr="00F57E12" w14:paraId="69D09E82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1B77D2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B46C5" w:rsidRPr="00F57E12" w14:paraId="4333AF6B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35DDEA9" w14:textId="77777777" w:rsidR="00BB46C5" w:rsidRPr="00F57E12" w:rsidRDefault="00BB46C5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D46EFD">
              <w:rPr>
                <w:sz w:val="20"/>
                <w:szCs w:val="20"/>
              </w:rPr>
              <w:t>Počet implementovaných nebo optimalizovaných zařízení / systémů / služeb (např. zabezpečovací, řídicí, odbavovací nebo informační) městské, příměstské a veřejné hromadné dopravy.</w:t>
            </w:r>
          </w:p>
        </w:tc>
      </w:tr>
      <w:tr w:rsidR="00BB46C5" w:rsidRPr="00F57E12" w14:paraId="652D7AD9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DD744A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AC2FB3F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BB46C5" w:rsidRPr="00F57E12" w14:paraId="14F09F47" w14:textId="77777777" w:rsidTr="00A60BA1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C44E" w14:textId="77777777" w:rsidR="00BB46C5" w:rsidRPr="00F57E12" w:rsidRDefault="00BB46C5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DA646" w14:textId="77777777" w:rsidR="00BB46C5" w:rsidRPr="00F57E12" w:rsidRDefault="00BB46C5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BB46C5" w:rsidRPr="00F57E12" w14:paraId="224429CC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E1B2415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BB46C5" w:rsidRPr="00F57E12" w14:paraId="3C299162" w14:textId="77777777" w:rsidTr="00A60BA1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2C044DCE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Pr="00F57E12">
              <w:rPr>
                <w:b/>
                <w:bCs/>
              </w:rPr>
              <w:t>ulová</w:t>
            </w:r>
          </w:p>
        </w:tc>
      </w:tr>
      <w:tr w:rsidR="00BB46C5" w:rsidRPr="00F57E12" w14:paraId="23447FD5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1BB2343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BB46C5" w:rsidRPr="00033E1A" w14:paraId="534C01E4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15E8D497" w14:textId="77777777" w:rsidR="00BB46C5" w:rsidRDefault="00BB46C5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</w:t>
            </w:r>
            <w:r>
              <w:rPr>
                <w:sz w:val="20"/>
                <w:szCs w:val="20"/>
              </w:rPr>
              <w:t xml:space="preserve"> všechny projekty výzvy.</w:t>
            </w:r>
          </w:p>
          <w:p w14:paraId="20305FE7" w14:textId="77777777" w:rsidR="00BB46C5" w:rsidRPr="00D03E9E" w:rsidRDefault="00BB46C5" w:rsidP="00285CA0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215D65">
              <w:rPr>
                <w:sz w:val="20"/>
                <w:szCs w:val="20"/>
              </w:rPr>
              <w:t xml:space="preserve">pro každý projekt bude </w:t>
            </w:r>
            <w:r w:rsidRPr="00215D65">
              <w:rPr>
                <w:b/>
                <w:sz w:val="20"/>
                <w:szCs w:val="20"/>
              </w:rPr>
              <w:t>rovna 1</w:t>
            </w:r>
            <w:r w:rsidRPr="00215D65">
              <w:rPr>
                <w:sz w:val="20"/>
                <w:szCs w:val="20"/>
              </w:rPr>
              <w:t xml:space="preserve">, bez ohledu na počet </w:t>
            </w:r>
            <w:r>
              <w:rPr>
                <w:sz w:val="20"/>
                <w:szCs w:val="20"/>
              </w:rPr>
              <w:t>aktivit nebo jejich kombinaci</w:t>
            </w:r>
            <w:r w:rsidRPr="00D03E9E">
              <w:rPr>
                <w:sz w:val="20"/>
                <w:szCs w:val="20"/>
              </w:rPr>
              <w:t>. Žadatel se zavazuje stanovenou hodnotu naplnit k datu ukončení realizace projektu.</w:t>
            </w:r>
          </w:p>
          <w:p w14:paraId="7ADBD97C" w14:textId="77777777" w:rsidR="00BB46C5" w:rsidRDefault="00BB46C5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</w:t>
            </w:r>
            <w:r w:rsidRPr="00215D65">
              <w:rPr>
                <w:sz w:val="20"/>
                <w:szCs w:val="20"/>
              </w:rPr>
              <w:t xml:space="preserve"> vždy 1</w:t>
            </w:r>
            <w:r>
              <w:rPr>
                <w:sz w:val="20"/>
                <w:szCs w:val="20"/>
              </w:rPr>
              <w:t>.</w:t>
            </w:r>
          </w:p>
          <w:p w14:paraId="5F336F91" w14:textId="77777777" w:rsidR="00BB46C5" w:rsidRPr="00033E1A" w:rsidRDefault="00BB46C5" w:rsidP="00285CA0">
            <w:pPr>
              <w:spacing w:before="120" w:after="120"/>
              <w:ind w:left="170" w:right="170"/>
              <w:jc w:val="both"/>
              <w:rPr>
                <w:color w:val="943634" w:themeColor="accent2" w:themeShade="BF"/>
                <w:sz w:val="20"/>
                <w:szCs w:val="20"/>
              </w:rPr>
            </w:pPr>
            <w:r w:rsidRPr="00616599">
              <w:rPr>
                <w:b/>
                <w:sz w:val="20"/>
                <w:szCs w:val="20"/>
              </w:rPr>
              <w:t>Tolerance: žádná</w:t>
            </w:r>
            <w:r w:rsidRPr="00215D65">
              <w:rPr>
                <w:sz w:val="20"/>
                <w:szCs w:val="20"/>
              </w:rPr>
              <w:t>, pokud není naplněna cílová hodnota, projekt nenaplnil svůj cíl. Nedosažení cílové hodnoty bude sankcionováno</w:t>
            </w:r>
            <w:r>
              <w:rPr>
                <w:sz w:val="20"/>
                <w:szCs w:val="20"/>
              </w:rPr>
              <w:t>.</w:t>
            </w:r>
            <w:r w:rsidDel="00544888">
              <w:rPr>
                <w:b/>
                <w:sz w:val="20"/>
                <w:szCs w:val="20"/>
              </w:rPr>
              <w:t xml:space="preserve"> </w:t>
            </w:r>
            <w:r w:rsidRPr="00215D65">
              <w:rPr>
                <w:sz w:val="20"/>
                <w:szCs w:val="20"/>
              </w:rPr>
              <w:t xml:space="preserve">Výše a typ sankce, která je aplikována při nenaplnění cílové hodnoty indikátoru, jsou stanoveny </w:t>
            </w:r>
            <w:r>
              <w:rPr>
                <w:sz w:val="20"/>
                <w:szCs w:val="20"/>
              </w:rPr>
              <w:t>v Podmínkách</w:t>
            </w:r>
            <w:r w:rsidRPr="00215D65">
              <w:rPr>
                <w:sz w:val="20"/>
                <w:szCs w:val="20"/>
              </w:rPr>
              <w:t xml:space="preserve"> Rozhodnutí o poskytnutí dotace</w:t>
            </w:r>
            <w:r>
              <w:rPr>
                <w:sz w:val="20"/>
                <w:szCs w:val="20"/>
              </w:rPr>
              <w:t xml:space="preserve"> a Podmínkách Stanovení výdajů na financování akce OSS.</w:t>
            </w:r>
          </w:p>
        </w:tc>
      </w:tr>
      <w:tr w:rsidR="00BB46C5" w:rsidRPr="00F57E12" w14:paraId="36A76107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5F1571B" w14:textId="77777777" w:rsidR="00BB46C5" w:rsidRPr="00F57E12" w:rsidRDefault="00BB46C5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Výpočet hodnoty indikátoru na úrovni projektu</w:t>
            </w:r>
          </w:p>
        </w:tc>
      </w:tr>
      <w:tr w:rsidR="00BB46C5" w:rsidRPr="00F57E12" w14:paraId="54BEB746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42288D" w14:textId="76924DE9" w:rsidR="00BB46C5" w:rsidRPr="000E2AF2" w:rsidRDefault="00BB46C5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5B1A8F59" w14:textId="77777777" w:rsidR="00BB46C5" w:rsidRPr="000E2AF2" w:rsidRDefault="00BB46C5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24FA3947" w14:textId="77777777" w:rsidR="00BB46C5" w:rsidRPr="000E2AF2" w:rsidRDefault="00BB46C5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2E741A82" w14:textId="77777777" w:rsidR="00BB46C5" w:rsidRPr="000E2AF2" w:rsidRDefault="00BB46C5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3729AC2B" w14:textId="77777777" w:rsidR="00BB46C5" w:rsidRPr="00F57E12" w:rsidRDefault="00BB46C5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4C81EE23" w14:textId="77777777" w:rsidR="00F576D3" w:rsidRPr="005A03B9" w:rsidRDefault="00F576D3" w:rsidP="007C6078">
      <w:pPr>
        <w:rPr>
          <w:b/>
          <w:sz w:val="24"/>
          <w:szCs w:val="24"/>
        </w:rPr>
      </w:pPr>
      <w:r w:rsidRPr="005A03B9">
        <w:rPr>
          <w:b/>
          <w:sz w:val="24"/>
          <w:szCs w:val="24"/>
        </w:rPr>
        <w:lastRenderedPageBreak/>
        <w:t xml:space="preserve">Pro aktivitu </w:t>
      </w:r>
      <w:r w:rsidR="00EA048A" w:rsidRPr="005A03B9">
        <w:rPr>
          <w:b/>
          <w:sz w:val="24"/>
          <w:szCs w:val="24"/>
        </w:rPr>
        <w:t>„</w:t>
      </w:r>
      <w:r w:rsidRPr="005A03B9">
        <w:rPr>
          <w:b/>
          <w:sz w:val="24"/>
          <w:szCs w:val="24"/>
        </w:rPr>
        <w:t>Nízkoemisní a bezemisní vozidla</w:t>
      </w:r>
      <w:r w:rsidR="00EA048A" w:rsidRPr="005A03B9">
        <w:rPr>
          <w:b/>
          <w:sz w:val="24"/>
          <w:szCs w:val="24"/>
        </w:rPr>
        <w:t>“</w:t>
      </w:r>
      <w:r w:rsidRPr="005A03B9">
        <w:rPr>
          <w:b/>
          <w:sz w:val="24"/>
          <w:szCs w:val="24"/>
        </w:rPr>
        <w:t xml:space="preserve"> jsou relevantní následující indikátory: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F576D3" w:rsidRPr="00F57E12" w14:paraId="345FE855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2F99A51C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F576D3" w:rsidRPr="00F57E12" w14:paraId="43504168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E60D174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576D3" w:rsidRPr="00F57E12" w14:paraId="45F5E14E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EA0CB1" w14:textId="77777777" w:rsidR="00F576D3" w:rsidRPr="00F57E12" w:rsidRDefault="00F576D3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033E1A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nově pořízených vozidel pro veřejnou dopravu</w:t>
            </w:r>
          </w:p>
        </w:tc>
      </w:tr>
      <w:tr w:rsidR="00F576D3" w:rsidRPr="00F57E12" w14:paraId="4744A12B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4D142A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AF7E2C7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2C3D6C4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E12FB63" w14:textId="77777777" w:rsidR="00F576D3" w:rsidRPr="00F57E12" w:rsidRDefault="00F576D3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942EB2A" w14:textId="77777777" w:rsidR="00F576D3" w:rsidRPr="00F57E12" w:rsidRDefault="00F576D3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F576D3" w:rsidRPr="00F57E12" w14:paraId="65487A9D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D294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7 48 01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715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E6C3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Vozidla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A147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803DA" w14:textId="77777777" w:rsidR="00F576D3" w:rsidRPr="00F57E12" w:rsidRDefault="00F576D3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F576D3" w:rsidRPr="00F57E12" w14:paraId="701439B4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894D09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576D3" w:rsidRPr="00F57E12" w14:paraId="58CC1A9F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2F69557" w14:textId="77777777" w:rsidR="00F576D3" w:rsidRPr="00F57E12" w:rsidRDefault="00F576D3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033E1A">
              <w:rPr>
                <w:sz w:val="20"/>
                <w:szCs w:val="20"/>
              </w:rPr>
              <w:t>Počet nově pořízených vozidel určených pro veřejnou dopravu v rámci projektu.</w:t>
            </w:r>
          </w:p>
        </w:tc>
      </w:tr>
      <w:tr w:rsidR="00F576D3" w:rsidRPr="00F57E12" w14:paraId="47D51DD8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2634C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9C4A405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F576D3" w:rsidRPr="00F57E12" w14:paraId="1294451A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D2FD" w14:textId="77777777" w:rsidR="00F576D3" w:rsidRPr="00F57E12" w:rsidRDefault="00F576D3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926DA" w14:textId="77777777" w:rsidR="00F576D3" w:rsidRPr="00F57E12" w:rsidRDefault="00F576D3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F576D3" w:rsidRPr="00F57E12" w14:paraId="6F257446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D2BA9F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F576D3" w:rsidRPr="00F57E12" w14:paraId="65983D8F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AEA9D11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F576D3" w:rsidRPr="00F57E12" w14:paraId="3EECAB2D" w14:textId="77777777" w:rsidTr="00A60BA1">
        <w:trPr>
          <w:trHeight w:val="540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C7E937C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F576D3" w:rsidRPr="00F57E12" w14:paraId="44F7BFDC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186FC0DB" w14:textId="77777777" w:rsidR="00F576D3" w:rsidRPr="00630787" w:rsidRDefault="00F576D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</w:t>
            </w:r>
            <w:r>
              <w:rPr>
                <w:sz w:val="20"/>
                <w:szCs w:val="20"/>
              </w:rPr>
              <w:t xml:space="preserve"> všechny </w:t>
            </w:r>
            <w:r w:rsidRPr="00630787">
              <w:rPr>
                <w:sz w:val="20"/>
                <w:szCs w:val="20"/>
              </w:rPr>
              <w:t xml:space="preserve">projekty </w:t>
            </w:r>
            <w:r w:rsidR="00630787" w:rsidRPr="00630787">
              <w:rPr>
                <w:sz w:val="20"/>
                <w:szCs w:val="20"/>
              </w:rPr>
              <w:t xml:space="preserve">u aktivity </w:t>
            </w:r>
            <w:r w:rsidR="00630787" w:rsidRPr="00630787">
              <w:t>Nízkoemisní a bezemisní vozidla</w:t>
            </w:r>
            <w:r w:rsidRPr="00630787">
              <w:rPr>
                <w:sz w:val="20"/>
                <w:szCs w:val="20"/>
              </w:rPr>
              <w:t>.</w:t>
            </w:r>
          </w:p>
          <w:p w14:paraId="12464D6E" w14:textId="77777777" w:rsidR="00F576D3" w:rsidRPr="0099087B" w:rsidRDefault="00F576D3" w:rsidP="005A03B9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nově pořízených vozidel pro veřejnou dopravu. Žadatel se zavazuje stanovenou hodnotu naplnit k datu ukončení realizace projektu.</w:t>
            </w:r>
          </w:p>
          <w:p w14:paraId="2E152D75" w14:textId="77777777" w:rsidR="00F576D3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B5510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skutečný počet nově pořízených vozidel pro veřejnou dopravu. </w:t>
            </w:r>
          </w:p>
          <w:p w14:paraId="7D7DB9B1" w14:textId="77777777" w:rsidR="001F7451" w:rsidRPr="00ED4B93" w:rsidRDefault="001F7451" w:rsidP="001F7451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ED4B93">
              <w:rPr>
                <w:b/>
                <w:sz w:val="20"/>
              </w:rPr>
              <w:t>Do hodnoty indikátoru se nezapočítávají vozidla pro veřejnou dopravu celá financovaná z nezpůsobilých výdajů projektu.</w:t>
            </w:r>
          </w:p>
          <w:p w14:paraId="5B49B37C" w14:textId="2F51AE16" w:rsidR="00F576D3" w:rsidRPr="00764007" w:rsidRDefault="00F576D3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</w:t>
            </w:r>
            <w:r>
              <w:rPr>
                <w:sz w:val="20"/>
                <w:szCs w:val="20"/>
              </w:rPr>
              <w:t>s</w:t>
            </w:r>
            <w:r w:rsidRPr="00F44EF4">
              <w:rPr>
                <w:sz w:val="20"/>
                <w:szCs w:val="20"/>
              </w:rPr>
              <w:t>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35778360" w14:textId="77777777" w:rsidR="00F576D3" w:rsidRPr="00F57E12" w:rsidRDefault="00F576D3" w:rsidP="00A60BA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F576D3" w:rsidRPr="00F57E12" w14:paraId="555D4588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F88276C" w14:textId="77777777" w:rsidR="00F576D3" w:rsidRPr="00F57E12" w:rsidRDefault="00F576D3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Výpočet hodnoty indikátoru na úrovni projektu</w:t>
            </w:r>
          </w:p>
        </w:tc>
      </w:tr>
      <w:tr w:rsidR="00F576D3" w:rsidRPr="00F57E12" w14:paraId="10AD61CA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415070" w14:textId="0B3F45DE" w:rsidR="00F576D3" w:rsidRPr="000E2AF2" w:rsidRDefault="00F576D3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 xml:space="preserve">Výchozí a cílové hodnoty, stanovené na základě uvedených pravidel, žadatel zadává do žádosti o podporu </w:t>
            </w:r>
            <w:r w:rsidRPr="000E2AF2">
              <w:rPr>
                <w:color w:val="000000"/>
                <w:sz w:val="20"/>
                <w:szCs w:val="20"/>
              </w:rPr>
              <w:lastRenderedPageBreak/>
              <w:t>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42B7D751" w14:textId="77777777" w:rsidR="00F576D3" w:rsidRPr="000E2AF2" w:rsidRDefault="00F576D3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21CC175E" w14:textId="77777777" w:rsidR="00F576D3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506CD793" w14:textId="77777777" w:rsidR="00F576D3" w:rsidRPr="000E2AF2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7A97127E" w14:textId="77777777" w:rsidR="00F576D3" w:rsidRPr="00F57E12" w:rsidRDefault="00F576D3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668D3927" w14:textId="77777777" w:rsidR="00587843" w:rsidRDefault="00587843" w:rsidP="00AB02BE">
      <w:pPr>
        <w:keepNext/>
        <w:keepLines/>
        <w:rPr>
          <w:b/>
        </w:rPr>
      </w:pPr>
    </w:p>
    <w:p w14:paraId="52D684E7" w14:textId="77777777" w:rsidR="00587843" w:rsidRDefault="00587843">
      <w:pPr>
        <w:rPr>
          <w:b/>
        </w:rPr>
      </w:pPr>
      <w:r>
        <w:rPr>
          <w:b/>
        </w:rPr>
        <w:br w:type="page"/>
      </w:r>
    </w:p>
    <w:p w14:paraId="0AB575CD" w14:textId="77777777" w:rsidR="00F576D3" w:rsidRDefault="00F576D3" w:rsidP="00AB02BE">
      <w:pPr>
        <w:keepNext/>
        <w:keepLines/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2D603F" w:rsidRPr="00F57E12" w14:paraId="176DCF8C" w14:textId="77777777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6E74F1D1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2D603F" w:rsidRPr="00F57E12" w14:paraId="5E3FF165" w14:textId="77777777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ABFE1A2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D603F" w:rsidRPr="00F57E12" w14:paraId="230B1318" w14:textId="77777777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61C9EF5" w14:textId="77777777" w:rsidR="002D603F" w:rsidRPr="00F57E12" w:rsidRDefault="002D603F" w:rsidP="002D603F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8108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osob přepravených veřejnou dopravou</w:t>
            </w:r>
          </w:p>
        </w:tc>
      </w:tr>
      <w:tr w:rsidR="002D603F" w:rsidRPr="00F57E12" w14:paraId="26D43E0D" w14:textId="77777777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AE83D62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A87C540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5A6EA6A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F7BA6E4" w14:textId="77777777" w:rsidR="002D603F" w:rsidRPr="00F57E12" w:rsidRDefault="002D603F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5BE767B" w14:textId="77777777" w:rsidR="002D603F" w:rsidRPr="00F57E12" w:rsidRDefault="002D603F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2D603F" w:rsidRPr="00F57E12" w14:paraId="614F9ED0" w14:textId="77777777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BD2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810858">
              <w:rPr>
                <w:b/>
                <w:bCs/>
                <w:color w:val="000000"/>
              </w:rPr>
              <w:t>7 51 10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7BA0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5C7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Osoby/rok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2629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30EF0D" w14:textId="77777777" w:rsidR="002D603F" w:rsidRPr="00F57E12" w:rsidRDefault="002D603F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2D603F" w:rsidRPr="00F57E12" w14:paraId="13D60208" w14:textId="77777777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68C6A47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D603F" w:rsidRPr="00F57E12" w14:paraId="13401993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418B763" w14:textId="4F6DCAB3" w:rsidR="002D603F" w:rsidRPr="00F57E12" w:rsidRDefault="002D603F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10858">
              <w:rPr>
                <w:sz w:val="20"/>
                <w:szCs w:val="20"/>
              </w:rPr>
              <w:t>oč</w:t>
            </w:r>
            <w:r>
              <w:rPr>
                <w:sz w:val="20"/>
                <w:szCs w:val="20"/>
              </w:rPr>
              <w:t>e</w:t>
            </w:r>
            <w:r w:rsidRPr="00810858">
              <w:rPr>
                <w:sz w:val="20"/>
                <w:szCs w:val="20"/>
              </w:rPr>
              <w:t>t osob přepravených veřejnou dopravou zjištěný reprezentativním sčítáním (či více sčítáními) v</w:t>
            </w:r>
            <w:r w:rsidR="004338A3">
              <w:rPr>
                <w:sz w:val="20"/>
                <w:szCs w:val="20"/>
              </w:rPr>
              <w:t> </w:t>
            </w:r>
            <w:r w:rsidRPr="00810858">
              <w:rPr>
                <w:sz w:val="20"/>
                <w:szCs w:val="20"/>
              </w:rPr>
              <w:t xml:space="preserve">průběhu roku. </w:t>
            </w:r>
            <w:r>
              <w:rPr>
                <w:sz w:val="20"/>
                <w:szCs w:val="20"/>
              </w:rPr>
              <w:t>Z</w:t>
            </w:r>
            <w:r w:rsidRPr="00810858">
              <w:rPr>
                <w:sz w:val="20"/>
                <w:szCs w:val="20"/>
              </w:rPr>
              <w:t>a zlepšený úsek se považuje i úsek s realizovanými opatřeními pro preferenci povrchové městské veřejné dopravy v uličním provozu. V případě přínosu nového záchytného parkoviště P+R jde o</w:t>
            </w:r>
            <w:r w:rsidR="004338A3">
              <w:rPr>
                <w:sz w:val="20"/>
                <w:szCs w:val="20"/>
              </w:rPr>
              <w:t> </w:t>
            </w:r>
            <w:r w:rsidRPr="00810858">
              <w:rPr>
                <w:sz w:val="20"/>
                <w:szCs w:val="20"/>
              </w:rPr>
              <w:t>počet osob přestupujících z parkoviště P+R na navazující veřejnou dopravu (tj. cílovou hodnotou indikátoru, přičemž výchozí hodnota indikátoru bude nulová).</w:t>
            </w:r>
          </w:p>
        </w:tc>
      </w:tr>
      <w:tr w:rsidR="002D603F" w:rsidRPr="00F57E12" w14:paraId="5118F2FD" w14:textId="77777777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21D041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53F1BC4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2D603F" w:rsidRPr="00F57E12" w14:paraId="003FF2D8" w14:textId="77777777" w:rsidTr="002D603F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A402" w14:textId="77777777" w:rsidR="002D603F" w:rsidRPr="00F57E1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56C13C" w14:textId="77777777" w:rsidR="002D603F" w:rsidRPr="00F57E1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176F7E">
              <w:rPr>
                <w:color w:val="000000"/>
              </w:rPr>
              <w:t>Zvýšení podílu udržitelných forem dopravy</w:t>
            </w:r>
          </w:p>
        </w:tc>
      </w:tr>
      <w:tr w:rsidR="002D603F" w:rsidRPr="00F57E12" w14:paraId="1DAB0A7B" w14:textId="77777777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053E5FE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2D603F" w:rsidRPr="00F57E12" w14:paraId="20EC5316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45BDE44E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U</w:t>
            </w:r>
            <w:r w:rsidRPr="00F57E12">
              <w:rPr>
                <w:b/>
                <w:bCs/>
              </w:rPr>
              <w:t>rčená žadatelem</w:t>
            </w:r>
          </w:p>
        </w:tc>
      </w:tr>
      <w:tr w:rsidR="002D603F" w:rsidRPr="00F57E12" w14:paraId="14CF7F64" w14:textId="77777777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53C4929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2D603F" w:rsidRPr="00F57E12" w14:paraId="1B2321F5" w14:textId="77777777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7756DC77" w14:textId="0C31E85B" w:rsidR="002D603F" w:rsidRDefault="002D603F" w:rsidP="002D603F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>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 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Výchozí hodnota a dosažená hodnota je zjišťována reprezentativním sčítáním ve vhodném úseku linek veřejné dopravy,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kterých</w:t>
            </w:r>
            <w:r w:rsidRPr="00B65749">
              <w:rPr>
                <w:sz w:val="20"/>
                <w:szCs w:val="20"/>
              </w:rPr>
              <w:t xml:space="preserve"> jsou podpořená vozidla běžně nasazována. </w:t>
            </w:r>
            <w:r>
              <w:rPr>
                <w:sz w:val="20"/>
                <w:szCs w:val="20"/>
              </w:rPr>
              <w:t xml:space="preserve">Sčítání za účelem zjištění výchozí hodnoty </w:t>
            </w:r>
            <w:r w:rsidRPr="00B65749">
              <w:rPr>
                <w:sz w:val="20"/>
                <w:szCs w:val="20"/>
              </w:rPr>
              <w:t>nesmí být starší pěti let před podáním projektové žádosti</w:t>
            </w:r>
            <w:r>
              <w:rPr>
                <w:sz w:val="20"/>
                <w:szCs w:val="20"/>
              </w:rPr>
              <w:t>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B65749">
              <w:rPr>
                <w:sz w:val="20"/>
                <w:szCs w:val="20"/>
              </w:rPr>
              <w:t xml:space="preserve">čítání za účelem zjištění dosažené hodnoty je nutné </w:t>
            </w:r>
            <w:r w:rsidR="00421D3C">
              <w:rPr>
                <w:sz w:val="20"/>
                <w:szCs w:val="20"/>
              </w:rPr>
              <w:t xml:space="preserve">provést </w:t>
            </w:r>
            <w:r w:rsidR="00234711">
              <w:rPr>
                <w:sz w:val="20"/>
                <w:szCs w:val="20"/>
              </w:rPr>
              <w:t>do 12 měsíců od ukončení realizace projektu a vykázat v</w:t>
            </w:r>
            <w:r>
              <w:rPr>
                <w:sz w:val="20"/>
                <w:szCs w:val="20"/>
              </w:rPr>
              <w:t xml:space="preserve"> první zpráv</w:t>
            </w:r>
            <w:r w:rsidR="00234711">
              <w:rPr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 xml:space="preserve"> o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udržitelnosti projektu.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14:paraId="5A54C9D3" w14:textId="77777777" w:rsidR="002D603F" w:rsidRPr="00C36188" w:rsidRDefault="002D603F" w:rsidP="002D603F">
            <w:pPr>
              <w:spacing w:before="120" w:after="120"/>
              <w:ind w:left="170" w:right="170"/>
              <w:jc w:val="both"/>
            </w:pPr>
            <w:r>
              <w:rPr>
                <w:sz w:val="20"/>
                <w:szCs w:val="20"/>
              </w:rPr>
              <w:t>O</w:t>
            </w:r>
            <w:r w:rsidRPr="00B65749">
              <w:rPr>
                <w:sz w:val="20"/>
                <w:szCs w:val="20"/>
              </w:rPr>
              <w:t>bě sčítání musí být vzájemně porovnatelná</w:t>
            </w:r>
            <w:r>
              <w:rPr>
                <w:sz w:val="20"/>
                <w:szCs w:val="20"/>
              </w:rPr>
              <w:t xml:space="preserve">, provedena na stejném úseku a zpracována stejnou metodou. </w:t>
            </w:r>
            <w:r w:rsidRPr="00B65749">
              <w:rPr>
                <w:sz w:val="20"/>
                <w:szCs w:val="20"/>
              </w:rPr>
              <w:t xml:space="preserve"> Pokud budou vozidla nejčastěji nasazována na </w:t>
            </w:r>
            <w:r>
              <w:rPr>
                <w:sz w:val="20"/>
                <w:szCs w:val="20"/>
              </w:rPr>
              <w:t>lince</w:t>
            </w:r>
            <w:r w:rsidRPr="00B65749">
              <w:rPr>
                <w:sz w:val="20"/>
                <w:szCs w:val="20"/>
              </w:rPr>
              <w:t>, jejíž vznik je přímo svázán s jejich nákupem</w:t>
            </w:r>
            <w:r>
              <w:rPr>
                <w:sz w:val="20"/>
                <w:szCs w:val="20"/>
              </w:rPr>
              <w:t xml:space="preserve"> (tedy nově vytvořená linka)</w:t>
            </w:r>
            <w:r w:rsidRPr="00B65749">
              <w:rPr>
                <w:sz w:val="20"/>
                <w:szCs w:val="20"/>
              </w:rPr>
              <w:t>, je možné operovat s nulovou výchozí hodnotou.</w:t>
            </w:r>
            <w:r>
              <w:rPr>
                <w:sz w:val="20"/>
                <w:szCs w:val="20"/>
              </w:rPr>
              <w:t xml:space="preserve"> </w:t>
            </w:r>
          </w:p>
          <w:p w14:paraId="01CF8297" w14:textId="5C19868F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počet osob přepravených veřejnou dopravou v úseku, na který budou nasazena nová vozidla. </w:t>
            </w:r>
            <w:r w:rsidRPr="00B65749">
              <w:rPr>
                <w:sz w:val="20"/>
                <w:szCs w:val="20"/>
              </w:rPr>
              <w:t>Pokud budou vozidla nejčastěji nasazována na trase, jejíž vznik je př</w:t>
            </w:r>
            <w:r>
              <w:rPr>
                <w:sz w:val="20"/>
                <w:szCs w:val="20"/>
              </w:rPr>
              <w:t>ímo svázán s jejich nákupem, bude výchozí hodnota 0</w:t>
            </w:r>
            <w:r w:rsidRPr="00B65749">
              <w:rPr>
                <w:sz w:val="20"/>
                <w:szCs w:val="20"/>
              </w:rPr>
              <w:t>.</w:t>
            </w:r>
            <w:r w:rsidR="00C12042">
              <w:t xml:space="preserve"> </w:t>
            </w:r>
            <w:r w:rsidR="00C12042" w:rsidRPr="007F4C70">
              <w:rPr>
                <w:sz w:val="20"/>
                <w:szCs w:val="20"/>
              </w:rPr>
              <w:t>Upozorňujeme, že stanovené datum výchozí hodnoty indikátoru se musí nově ve všech případech rovnat datu podání žádosti o podporu/projektu, nebo mu předcházet.</w:t>
            </w:r>
          </w:p>
          <w:p w14:paraId="10D193A8" w14:textId="23D3466B" w:rsidR="002D603F" w:rsidRDefault="002D603F" w:rsidP="007C6078">
            <w:pPr>
              <w:spacing w:before="120" w:after="120"/>
              <w:ind w:left="170" w:right="170"/>
              <w:jc w:val="both"/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osob přepravených veřejnou dopravou v úseku, na který budou nasazena nová vozidla. Stanovená cílová hodnota je orientační a příjemce jí není vázán naplnit.</w:t>
            </w:r>
            <w:r w:rsidR="00234711">
              <w:rPr>
                <w:sz w:val="20"/>
                <w:szCs w:val="20"/>
              </w:rPr>
              <w:t xml:space="preserve"> Žadatel zadává datum </w:t>
            </w:r>
            <w:r w:rsidR="00234711">
              <w:rPr>
                <w:sz w:val="20"/>
                <w:szCs w:val="20"/>
              </w:rPr>
              <w:lastRenderedPageBreak/>
              <w:t>cílové hodnoty, které následuj</w:t>
            </w:r>
            <w:r w:rsidR="00421D3C">
              <w:rPr>
                <w:sz w:val="20"/>
                <w:szCs w:val="20"/>
              </w:rPr>
              <w:t>e</w:t>
            </w:r>
            <w:r w:rsidR="00234711">
              <w:rPr>
                <w:sz w:val="20"/>
                <w:szCs w:val="20"/>
              </w:rPr>
              <w:t xml:space="preserve"> 12 měsíců od plánovaného data ukončení realizace projektu.</w:t>
            </w:r>
          </w:p>
          <w:p w14:paraId="531A3B5F" w14:textId="77777777" w:rsidR="002D603F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426B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skutečný počet osob přepravených veřejnou dopravou v úseku, na který budou nasazena nová vozidla. Hodnotu je žadatel povinen vykázat v první zprávě o udržitelnosti projektu.</w:t>
            </w:r>
          </w:p>
          <w:p w14:paraId="306483DA" w14:textId="77777777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n</w:t>
            </w:r>
            <w:r w:rsidRPr="003422E8">
              <w:rPr>
                <w:sz w:val="20"/>
                <w:szCs w:val="20"/>
              </w:rPr>
              <w:t>erelevantní –</w:t>
            </w:r>
            <w:r>
              <w:rPr>
                <w:sz w:val="20"/>
                <w:szCs w:val="20"/>
              </w:rPr>
              <w:t xml:space="preserve"> 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,</w:t>
            </w:r>
            <w:r w:rsidRPr="003422E8">
              <w:rPr>
                <w:sz w:val="20"/>
                <w:szCs w:val="20"/>
              </w:rPr>
              <w:t xml:space="preserve"> a proto není plnění indikátoru předmětem sankcí.</w:t>
            </w:r>
          </w:p>
        </w:tc>
      </w:tr>
      <w:tr w:rsidR="002D603F" w:rsidRPr="00F57E12" w14:paraId="2F89E24E" w14:textId="77777777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DDA6CBA" w14:textId="77777777" w:rsidR="002D603F" w:rsidRPr="00F57E12" w:rsidRDefault="002D603F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2D603F" w:rsidRPr="00F57E12" w14:paraId="7ED6CD16" w14:textId="77777777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B8FCB" w14:textId="02E35C9A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51884732" w14:textId="77777777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08CE9E13" w14:textId="77777777" w:rsidR="002D603F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7992E81C" w14:textId="77777777" w:rsidR="002D603F" w:rsidRPr="00F57E1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Výpočet:</w:t>
            </w:r>
          </w:p>
          <w:p w14:paraId="13DF76A1" w14:textId="77777777" w:rsidR="002D603F" w:rsidRPr="00F57E12" w:rsidRDefault="002D603F" w:rsidP="002D603F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sz w:val="20"/>
                <w:szCs w:val="20"/>
              </w:rPr>
              <w:t>Výchozí a dosažená hodnota indikátoru bude zjišťována reprezentativním sčítáním.</w:t>
            </w:r>
          </w:p>
        </w:tc>
      </w:tr>
    </w:tbl>
    <w:p w14:paraId="1186B397" w14:textId="77777777" w:rsidR="002D603F" w:rsidRPr="00B45BBD" w:rsidRDefault="002D603F" w:rsidP="002D603F">
      <w:r w:rsidRPr="00F57E12">
        <w:br w:type="pag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2D603F" w:rsidRPr="00F57E12" w14:paraId="77E616D3" w14:textId="77777777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77A45F39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B45BBD">
              <w:rPr>
                <w:rFonts w:asciiTheme="majorHAnsi" w:hAnsiTheme="majorHAnsi"/>
                <w:b/>
                <w:bCs/>
                <w:color w:val="000000"/>
              </w:rPr>
              <w:lastRenderedPageBreak/>
              <w:t>METODICKÝ LIST INDIKÁTORU</w:t>
            </w:r>
          </w:p>
        </w:tc>
      </w:tr>
      <w:tr w:rsidR="002D603F" w:rsidRPr="00F57E12" w14:paraId="025276A0" w14:textId="77777777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1068613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 xml:space="preserve">Název indikátoru </w:t>
            </w:r>
          </w:p>
        </w:tc>
      </w:tr>
      <w:tr w:rsidR="002D603F" w:rsidRPr="00F57E12" w14:paraId="26019022" w14:textId="77777777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09D84EF" w14:textId="77777777" w:rsidR="002D603F" w:rsidRPr="00B45BBD" w:rsidRDefault="002D603F" w:rsidP="002D603F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B45B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Množství emisí primárních částic a prekurzorů sekundárních částic v rámci podpořených projektů</w:t>
            </w:r>
          </w:p>
        </w:tc>
      </w:tr>
      <w:tr w:rsidR="002D603F" w:rsidRPr="00F57E12" w14:paraId="26204529" w14:textId="77777777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5032186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429DBDD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4E45A04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75E3626" w14:textId="77777777" w:rsidR="002D603F" w:rsidRPr="00B45BBD" w:rsidRDefault="002D603F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45042D2" w14:textId="77777777" w:rsidR="002D603F" w:rsidRPr="00B45BBD" w:rsidRDefault="002D603F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2D603F" w:rsidRPr="00F57E12" w14:paraId="33B6E2FF" w14:textId="77777777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0BB0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3 61 11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7F3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5D63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 w:rsidRPr="00B45BBD">
              <w:rPr>
                <w:b/>
                <w:bCs/>
                <w:color w:val="000000"/>
              </w:rPr>
              <w:t>t/rok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7F67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53D21" w14:textId="77777777" w:rsidR="002D603F" w:rsidRPr="00B45BBD" w:rsidRDefault="002D603F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Ano</w:t>
            </w:r>
          </w:p>
        </w:tc>
      </w:tr>
      <w:tr w:rsidR="002D603F" w:rsidRPr="00F57E12" w14:paraId="4BF0D959" w14:textId="77777777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A2F1978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2D603F" w:rsidRPr="00F57E12" w14:paraId="302B41F5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1CF137B" w14:textId="77777777" w:rsidR="002D603F" w:rsidRPr="00F84892" w:rsidRDefault="002D603F" w:rsidP="002D603F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F84892">
              <w:rPr>
                <w:sz w:val="20"/>
                <w:szCs w:val="20"/>
              </w:rPr>
              <w:t>Snížení celkových ročních emisí suspendovaných částic PM10 a emisí oxidů dusíků, oxidu siřičitého a amoniaku jako výchozích látek pro vznik sekundárních prachových částic v tunách za rok. Hodnota indikátoru se získá součtem celkových ročních emisí PM10 a prekurzorů sekundárních částic v tunách násobených jejich faktorem potenciálu tvorby částic.</w:t>
            </w:r>
          </w:p>
        </w:tc>
      </w:tr>
      <w:tr w:rsidR="002D603F" w:rsidRPr="00F57E12" w14:paraId="113354FE" w14:textId="77777777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8E199E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color w:val="000000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4796C10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color w:val="000000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2D603F" w:rsidRPr="00F57E12" w14:paraId="7D9C754E" w14:textId="77777777" w:rsidTr="002D603F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4A12" w14:textId="77777777" w:rsidR="002D603F" w:rsidRPr="00F8489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F84892">
              <w:t>1 - 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67E6A" w14:textId="77777777" w:rsidR="002D603F" w:rsidRPr="00F8489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F84892">
              <w:rPr>
                <w:color w:val="000000"/>
              </w:rPr>
              <w:t>1.2 - Zvýšení podílu udržitelných forem dopravy</w:t>
            </w:r>
          </w:p>
        </w:tc>
      </w:tr>
      <w:tr w:rsidR="002D603F" w:rsidRPr="00F57E12" w14:paraId="0B7DA0C8" w14:textId="77777777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64D3881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2D603F" w:rsidRPr="00F57E12" w14:paraId="73DD0605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6D8DCC21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</w:rPr>
              <w:t>Určená žadatelem</w:t>
            </w:r>
          </w:p>
        </w:tc>
      </w:tr>
      <w:tr w:rsidR="002D603F" w:rsidRPr="00F57E12" w14:paraId="19788815" w14:textId="77777777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13CEDB9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2D603F" w:rsidRPr="00F57E12" w14:paraId="73D51888" w14:textId="77777777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009581C" w14:textId="77777777" w:rsidR="002D603F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>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 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Výpočet indikátorů je závislý na použití v různých situacích:</w:t>
            </w:r>
          </w:p>
          <w:p w14:paraId="4185FE47" w14:textId="77777777"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t>Situace 1 - nákup nízkoemisních nebo bezemisních vozidel jako náhrada stávajících vozidel</w:t>
            </w:r>
          </w:p>
          <w:p w14:paraId="4C78D2B1" w14:textId="77777777" w:rsidR="00C93D97" w:rsidRPr="00980D9B" w:rsidRDefault="002D603F" w:rsidP="00ED4B93">
            <w:pPr>
              <w:spacing w:before="120" w:after="120" w:line="259" w:lineRule="auto"/>
              <w:ind w:left="170" w:right="170"/>
              <w:jc w:val="both"/>
            </w:pPr>
            <w:r w:rsidRPr="00980D9B">
              <w:rPr>
                <w:sz w:val="20"/>
                <w:szCs w:val="20"/>
              </w:rPr>
              <w:t>Jako výchozí hodnota se uvede aktuální stav produkovaných emisí vozidel, které dopravní podnik plánuje nahradit. Jako cílová hodnota se uvede množství emisí stejného počtu nových vozidel.  V případě, že předmětem projektu je nákup bezemisních vozidel jako náhrada stávajících bezemisních vozidel, výchozí a cílová hodnota indikátoru jsou rovny nule.</w:t>
            </w:r>
          </w:p>
          <w:p w14:paraId="5237B587" w14:textId="3751B3E5" w:rsidR="002D603F" w:rsidRPr="00D648BE" w:rsidRDefault="00EA048A" w:rsidP="00ED4B9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80D9B">
              <w:rPr>
                <w:sz w:val="20"/>
                <w:szCs w:val="20"/>
              </w:rPr>
              <w:t>Nahrazením stávajících vozidel se rozumí vyřazení stávajících vozidel z provozu ve veřejných službách v</w:t>
            </w:r>
            <w:r w:rsidR="004338A3">
              <w:rPr>
                <w:sz w:val="20"/>
                <w:szCs w:val="20"/>
              </w:rPr>
              <w:t> </w:t>
            </w:r>
            <w:r w:rsidRPr="00980D9B">
              <w:rPr>
                <w:sz w:val="20"/>
                <w:szCs w:val="20"/>
              </w:rPr>
              <w:t>přepravě cestujících, které je naplánováno do jednoho roku od data ukončení realizace projektu, a zařazení nově pořízených vozidel do provozu ve veřejných službách v přepravě cestujících (podle smlouvy o</w:t>
            </w:r>
            <w:r w:rsidR="004338A3">
              <w:rPr>
                <w:sz w:val="20"/>
                <w:szCs w:val="20"/>
              </w:rPr>
              <w:t> </w:t>
            </w:r>
            <w:r w:rsidRPr="00980D9B">
              <w:rPr>
                <w:sz w:val="20"/>
                <w:szCs w:val="20"/>
              </w:rPr>
              <w:t>veřejných službách přiložené k žádosti o podporu nebo k první ZoU) před začátkem doby udržitelnosti projektu.</w:t>
            </w:r>
          </w:p>
          <w:p w14:paraId="3E3BE518" w14:textId="77777777"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t>Situace 2 - nákup nízkoemisních nebo bezemisních vozidel k rozšíření vozového parku</w:t>
            </w:r>
          </w:p>
          <w:p w14:paraId="1AD09686" w14:textId="77777777" w:rsidR="002D603F" w:rsidRPr="00D648BE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D648BE">
              <w:rPr>
                <w:sz w:val="20"/>
                <w:szCs w:val="20"/>
              </w:rPr>
              <w:t xml:space="preserve">ako cílová </w:t>
            </w:r>
            <w:r>
              <w:rPr>
                <w:sz w:val="20"/>
                <w:szCs w:val="20"/>
              </w:rPr>
              <w:t>hodnota se</w:t>
            </w:r>
            <w:r w:rsidRPr="00D648BE">
              <w:rPr>
                <w:sz w:val="20"/>
                <w:szCs w:val="20"/>
              </w:rPr>
              <w:t xml:space="preserve"> uvede </w:t>
            </w:r>
            <w:r>
              <w:rPr>
                <w:sz w:val="20"/>
                <w:szCs w:val="20"/>
              </w:rPr>
              <w:t xml:space="preserve">množství </w:t>
            </w:r>
            <w:r w:rsidRPr="00D648BE">
              <w:rPr>
                <w:sz w:val="20"/>
                <w:szCs w:val="20"/>
              </w:rPr>
              <w:t>emisí zakoupených vozidel.</w:t>
            </w:r>
            <w:r>
              <w:rPr>
                <w:sz w:val="20"/>
                <w:szCs w:val="20"/>
              </w:rPr>
              <w:t xml:space="preserve"> J</w:t>
            </w:r>
            <w:r w:rsidRPr="00D648BE">
              <w:rPr>
                <w:sz w:val="20"/>
                <w:szCs w:val="20"/>
              </w:rPr>
              <w:t xml:space="preserve">ako výchozí hodnota </w:t>
            </w:r>
            <w:r>
              <w:rPr>
                <w:sz w:val="20"/>
                <w:szCs w:val="20"/>
              </w:rPr>
              <w:t xml:space="preserve">se </w:t>
            </w:r>
            <w:r w:rsidRPr="00D648BE">
              <w:rPr>
                <w:sz w:val="20"/>
                <w:szCs w:val="20"/>
              </w:rPr>
              <w:t>uvede hypotetická hodnota emisí stejného počtu autobusů stejné kategorie na běžný typ paliva</w:t>
            </w:r>
            <w:r>
              <w:rPr>
                <w:sz w:val="20"/>
                <w:szCs w:val="20"/>
              </w:rPr>
              <w:t>.</w:t>
            </w:r>
            <w:r w:rsidRPr="00D648BE" w:rsidDel="00313F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V případě, že předmětem projektu je nákup bezemisních vozidel, cílová hodnota indikátoru je rovna nule.</w:t>
            </w:r>
          </w:p>
          <w:p w14:paraId="4F2B4D20" w14:textId="77777777"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lastRenderedPageBreak/>
              <w:t>Situace 3 - kombinace situací 1 a 2</w:t>
            </w:r>
          </w:p>
          <w:p w14:paraId="4B3A922D" w14:textId="77777777" w:rsidR="002D603F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D648BE">
              <w:rPr>
                <w:sz w:val="20"/>
                <w:szCs w:val="20"/>
              </w:rPr>
              <w:t xml:space="preserve">V případě, že </w:t>
            </w:r>
            <w:r>
              <w:rPr>
                <w:sz w:val="20"/>
                <w:szCs w:val="20"/>
              </w:rPr>
              <w:t>cílem</w:t>
            </w:r>
            <w:r w:rsidRPr="00D648BE">
              <w:rPr>
                <w:sz w:val="20"/>
                <w:szCs w:val="20"/>
              </w:rPr>
              <w:t xml:space="preserve"> projektu bude obměna i rozšíření vozového parku, je výpoč</w:t>
            </w:r>
            <w:r>
              <w:rPr>
                <w:sz w:val="20"/>
                <w:szCs w:val="20"/>
              </w:rPr>
              <w:t>e</w:t>
            </w:r>
            <w:r w:rsidRPr="00D648BE">
              <w:rPr>
                <w:sz w:val="20"/>
                <w:szCs w:val="20"/>
              </w:rPr>
              <w:t xml:space="preserve">t kombinací příkladu 1 a 2. Žadatel uvede výchozí hodnotu jako součet celkových emisí za nahrazovaná vozidla </w:t>
            </w:r>
            <w:r>
              <w:rPr>
                <w:sz w:val="20"/>
                <w:szCs w:val="20"/>
              </w:rPr>
              <w:t xml:space="preserve">a </w:t>
            </w:r>
            <w:r w:rsidRPr="00D648BE">
              <w:rPr>
                <w:sz w:val="20"/>
                <w:szCs w:val="20"/>
              </w:rPr>
              <w:t>hypotetické hodnoty emisí autobusů stejné kategorie</w:t>
            </w:r>
            <w:r>
              <w:rPr>
                <w:sz w:val="20"/>
                <w:szCs w:val="20"/>
              </w:rPr>
              <w:t>,</w:t>
            </w:r>
            <w:r w:rsidRPr="00D648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které používají</w:t>
            </w:r>
            <w:r w:rsidRPr="00D648BE">
              <w:rPr>
                <w:sz w:val="20"/>
                <w:szCs w:val="20"/>
              </w:rPr>
              <w:t xml:space="preserve"> běžný typ paliva</w:t>
            </w:r>
            <w:r>
              <w:rPr>
                <w:sz w:val="20"/>
                <w:szCs w:val="20"/>
              </w:rPr>
              <w:t>,</w:t>
            </w:r>
            <w:r w:rsidRPr="00D648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 počtu vozidel </w:t>
            </w:r>
            <w:r w:rsidRPr="00D648BE">
              <w:rPr>
                <w:sz w:val="20"/>
                <w:szCs w:val="20"/>
              </w:rPr>
              <w:t>rozšiřující vozový park. Cílová hodnota se rovná součtu emisí všech zakoupených vozidel.</w:t>
            </w:r>
          </w:p>
          <w:p w14:paraId="2106A21D" w14:textId="58972BB1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8E3AB7">
              <w:rPr>
                <w:bCs/>
                <w:color w:val="000000"/>
                <w:sz w:val="20"/>
                <w:szCs w:val="20"/>
              </w:rPr>
              <w:t xml:space="preserve">množství emisí primárních částic a prekurzorů sekundárních částic </w:t>
            </w:r>
            <w:r>
              <w:rPr>
                <w:bCs/>
                <w:color w:val="000000"/>
                <w:sz w:val="20"/>
                <w:szCs w:val="20"/>
              </w:rPr>
              <w:t>produkovaných vozidly před zahájením realizace projektu.</w:t>
            </w:r>
            <w:r w:rsidR="00C12042">
              <w:t xml:space="preserve"> </w:t>
            </w:r>
            <w:r w:rsidR="00C12042" w:rsidRPr="007F4C70">
              <w:rPr>
                <w:bCs/>
                <w:color w:val="000000"/>
                <w:sz w:val="20"/>
                <w:szCs w:val="20"/>
              </w:rPr>
              <w:t>Upozorňujeme, že stanovené datum výchozí hodnoty indikátoru se musí nově ve všech případech rovnat datu podání žádosti o podporu/projektu, nebo mu předcházet.</w:t>
            </w:r>
          </w:p>
          <w:p w14:paraId="1685FD3E" w14:textId="739FBF32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plánované </w:t>
            </w:r>
            <w:r w:rsidRPr="008E3AB7">
              <w:rPr>
                <w:bCs/>
                <w:color w:val="000000"/>
                <w:sz w:val="20"/>
                <w:szCs w:val="20"/>
              </w:rPr>
              <w:t xml:space="preserve">množství emisí primárních částic a prekurzorů sekundárních částic </w:t>
            </w:r>
            <w:r>
              <w:rPr>
                <w:bCs/>
                <w:color w:val="000000"/>
                <w:sz w:val="20"/>
                <w:szCs w:val="20"/>
              </w:rPr>
              <w:t>produkovaných vozidly pořízenými  při realizaci projektu.</w:t>
            </w:r>
            <w:r w:rsidR="00234711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6244C7" w:rsidRPr="00160D16">
              <w:rPr>
                <w:sz w:val="20"/>
                <w:szCs w:val="20"/>
              </w:rPr>
              <w:t>Stanovená cílová hodnota je orientační a příjemce ji není vázán naplnit.</w:t>
            </w:r>
            <w:r w:rsidR="00462E6B">
              <w:rPr>
                <w:sz w:val="20"/>
                <w:szCs w:val="20"/>
              </w:rPr>
              <w:t xml:space="preserve"> </w:t>
            </w:r>
            <w:r w:rsidR="00234711">
              <w:rPr>
                <w:bCs/>
                <w:color w:val="000000"/>
                <w:sz w:val="20"/>
                <w:szCs w:val="20"/>
              </w:rPr>
              <w:t>Žadatel zadává datum cílové hodnoty, které se rovná datu plánovaného ukončení realizace projektu.</w:t>
            </w:r>
          </w:p>
          <w:p w14:paraId="14479656" w14:textId="014762E9" w:rsidR="00234711" w:rsidRDefault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AB02BE">
              <w:rPr>
                <w:b/>
                <w:sz w:val="20"/>
                <w:szCs w:val="20"/>
              </w:rPr>
              <w:t>Dosažená hodnota:</w:t>
            </w:r>
            <w:r w:rsidRPr="00AB02BE">
              <w:rPr>
                <w:sz w:val="20"/>
                <w:szCs w:val="20"/>
              </w:rPr>
              <w:t xml:space="preserve"> </w:t>
            </w:r>
            <w:r w:rsidR="00A24C23">
              <w:rPr>
                <w:sz w:val="20"/>
                <w:szCs w:val="20"/>
              </w:rPr>
              <w:t xml:space="preserve">vypočtené </w:t>
            </w:r>
            <w:r w:rsidRPr="00AB02BE">
              <w:rPr>
                <w:sz w:val="20"/>
                <w:szCs w:val="20"/>
              </w:rPr>
              <w:t>množství emisí primárních částic a prekurzorů sekundárních částic produkovaných vozidly pořízenými při realizaci projektu</w:t>
            </w:r>
            <w:r w:rsidR="00D345EF">
              <w:rPr>
                <w:sz w:val="20"/>
                <w:szCs w:val="20"/>
              </w:rPr>
              <w:t xml:space="preserve"> </w:t>
            </w:r>
            <w:r w:rsidR="00C93D97">
              <w:rPr>
                <w:sz w:val="20"/>
                <w:szCs w:val="20"/>
              </w:rPr>
              <w:t>z</w:t>
            </w:r>
            <w:r w:rsidR="00EA048A" w:rsidRPr="00AB02BE">
              <w:rPr>
                <w:sz w:val="20"/>
                <w:szCs w:val="20"/>
              </w:rPr>
              <w:t xml:space="preserve">a první </w:t>
            </w:r>
            <w:r w:rsidR="00234711">
              <w:rPr>
                <w:sz w:val="20"/>
                <w:szCs w:val="20"/>
              </w:rPr>
              <w:t xml:space="preserve">celý </w:t>
            </w:r>
            <w:r w:rsidR="00EA048A" w:rsidRPr="00AB02BE">
              <w:rPr>
                <w:sz w:val="20"/>
                <w:szCs w:val="20"/>
              </w:rPr>
              <w:t>kalendářní rok</w:t>
            </w:r>
            <w:r w:rsidR="00234711">
              <w:rPr>
                <w:sz w:val="20"/>
                <w:szCs w:val="20"/>
              </w:rPr>
              <w:t xml:space="preserve"> od ukončení realizace projektu. Pro výpočet dosažené hodnoty příjemce použije stejný postup jako v případě cílové hodnoty. Příjemce má, v návaznosti na konkrétní model vysoutěženého vozidla, možnost upravit jeho parametry a plánovaný počet vozokilometrů pro kalendářní rok provozu. Příjemce vypočítanou hodnotu vykazuje k datu ukončení realizace projektu.</w:t>
            </w:r>
          </w:p>
          <w:p w14:paraId="195F3085" w14:textId="77777777" w:rsidR="002D603F" w:rsidRPr="00F84892" w:rsidRDefault="002D603F">
            <w:pPr>
              <w:spacing w:before="120" w:after="120" w:line="259" w:lineRule="auto"/>
              <w:ind w:left="170" w:right="170"/>
              <w:jc w:val="both"/>
              <w:rPr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n</w:t>
            </w:r>
            <w:r w:rsidRPr="003422E8">
              <w:rPr>
                <w:sz w:val="20"/>
                <w:szCs w:val="20"/>
              </w:rPr>
              <w:t>erelevantní –</w:t>
            </w:r>
            <w:r>
              <w:rPr>
                <w:sz w:val="20"/>
                <w:szCs w:val="20"/>
              </w:rPr>
              <w:t xml:space="preserve"> 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.</w:t>
            </w:r>
          </w:p>
        </w:tc>
      </w:tr>
      <w:tr w:rsidR="002D603F" w:rsidRPr="00F57E12" w14:paraId="18789E6C" w14:textId="77777777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11B1EC7" w14:textId="77777777" w:rsidR="002D603F" w:rsidRPr="00B45BBD" w:rsidRDefault="002D603F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B45BBD"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2D603F" w:rsidRPr="00F57E12" w14:paraId="2FAF04F9" w14:textId="77777777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625ED0" w14:textId="11E332FC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66DC39A3" w14:textId="77777777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61D942F8" w14:textId="77777777"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634A06E5" w14:textId="77777777" w:rsidR="002D603F" w:rsidRPr="00B45BBD" w:rsidRDefault="002D603F" w:rsidP="002D603F">
            <w:pPr>
              <w:spacing w:before="120" w:after="120"/>
              <w:ind w:left="170" w:right="170"/>
              <w:rPr>
                <w:b/>
                <w:color w:val="000000"/>
                <w:sz w:val="20"/>
                <w:szCs w:val="20"/>
                <w:u w:val="single"/>
              </w:rPr>
            </w:pPr>
            <w:r w:rsidRPr="00B45BBD">
              <w:rPr>
                <w:b/>
                <w:color w:val="000000"/>
                <w:sz w:val="20"/>
                <w:szCs w:val="20"/>
                <w:u w:val="single"/>
              </w:rPr>
              <w:t>Výpočet:</w:t>
            </w:r>
          </w:p>
          <w:p w14:paraId="29F76F96" w14:textId="77777777" w:rsidR="002D603F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B45BBD">
              <w:rPr>
                <w:color w:val="000000"/>
                <w:sz w:val="20"/>
                <w:szCs w:val="20"/>
              </w:rPr>
              <w:t xml:space="preserve">Hodnota indikátoru se </w:t>
            </w:r>
            <w:r>
              <w:rPr>
                <w:color w:val="000000"/>
                <w:sz w:val="20"/>
                <w:szCs w:val="20"/>
              </w:rPr>
              <w:t>rovná</w:t>
            </w:r>
            <w:r w:rsidRPr="00B45BBD">
              <w:rPr>
                <w:color w:val="000000"/>
                <w:sz w:val="20"/>
                <w:szCs w:val="20"/>
              </w:rPr>
              <w:t xml:space="preserve"> součt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B45BBD">
              <w:rPr>
                <w:color w:val="000000"/>
                <w:sz w:val="20"/>
                <w:szCs w:val="20"/>
              </w:rPr>
              <w:t xml:space="preserve"> celkových ročních emisí primárních PM</w:t>
            </w:r>
            <w:r w:rsidRPr="00400377">
              <w:rPr>
                <w:color w:val="000000"/>
                <w:sz w:val="20"/>
                <w:szCs w:val="20"/>
                <w:vertAlign w:val="subscript"/>
              </w:rPr>
              <w:t>10</w:t>
            </w:r>
            <w:r w:rsidRPr="00B45BBD">
              <w:rPr>
                <w:color w:val="000000"/>
                <w:sz w:val="20"/>
                <w:szCs w:val="20"/>
              </w:rPr>
              <w:t xml:space="preserve"> a prekurzorů sekundárních částic v tunách násobených jejich faktorem potenciálu tvorby částic. </w:t>
            </w:r>
          </w:p>
          <w:p w14:paraId="148092A7" w14:textId="77777777" w:rsidR="002D603F" w:rsidRDefault="002D603F" w:rsidP="00980D9B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B45BBD">
              <w:rPr>
                <w:color w:val="000000"/>
                <w:sz w:val="20"/>
                <w:szCs w:val="20"/>
              </w:rPr>
              <w:t>Faktory potenciálu tvorby částic: pro NO</w:t>
            </w:r>
            <w:r>
              <w:rPr>
                <w:color w:val="000000"/>
                <w:sz w:val="20"/>
                <w:szCs w:val="20"/>
                <w:vertAlign w:val="subscript"/>
              </w:rPr>
              <w:t>x</w:t>
            </w:r>
            <w:r w:rsidRPr="00B45BBD">
              <w:rPr>
                <w:color w:val="000000"/>
                <w:sz w:val="20"/>
                <w:szCs w:val="20"/>
              </w:rPr>
              <w:t xml:space="preserve"> = 0,88; pro SO</w:t>
            </w:r>
            <w:r w:rsidRPr="00DB7090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B45BBD">
              <w:rPr>
                <w:color w:val="000000"/>
                <w:sz w:val="20"/>
                <w:szCs w:val="20"/>
              </w:rPr>
              <w:t xml:space="preserve"> = 0,54 a pro NH</w:t>
            </w:r>
            <w:r w:rsidRPr="00DB7090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B45BBD">
              <w:rPr>
                <w:color w:val="000000"/>
                <w:sz w:val="20"/>
                <w:szCs w:val="20"/>
              </w:rPr>
              <w:t xml:space="preserve"> = 0,64.</w:t>
            </w:r>
          </w:p>
          <w:p w14:paraId="2386DD3F" w14:textId="77777777" w:rsidR="002D603F" w:rsidRDefault="002D603F" w:rsidP="00ED4B93">
            <w:pPr>
              <w:pStyle w:val="Nadpis1"/>
            </w:pPr>
            <w:r w:rsidRPr="00DB7090">
              <w:rPr>
                <w:sz w:val="24"/>
                <w:szCs w:val="24"/>
              </w:rPr>
              <w:t>výpočet výchozí hodnoty indikátoru emisí primárních částic a prekurzorů sekundárních částic (EPS)</w:t>
            </w:r>
          </w:p>
          <w:p w14:paraId="07E285CB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Základní vzorec pro výpočet indikátoru:</w:t>
            </w:r>
          </w:p>
          <w:p w14:paraId="1833704D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jc w:val="center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EPS = (1 × PM</w:t>
            </w:r>
            <w:r w:rsidRPr="00400377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10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(0,88 × NO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x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(0,54 × SO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2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(0,64 × NH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3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</w:t>
            </w:r>
          </w:p>
          <w:p w14:paraId="0867EC41" w14:textId="77777777" w:rsidR="002D603F" w:rsidRPr="00DB7090" w:rsidRDefault="002D603F" w:rsidP="002D603F">
            <w:pPr>
              <w:pStyle w:val="Default"/>
              <w:spacing w:before="120" w:after="120" w:line="276" w:lineRule="auto"/>
              <w:ind w:left="170" w:right="17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B7090">
              <w:rPr>
                <w:rFonts w:asciiTheme="minorHAnsi" w:hAnsiTheme="minorHAnsi"/>
                <w:sz w:val="20"/>
                <w:szCs w:val="20"/>
                <w:u w:val="single"/>
              </w:rPr>
              <w:t>Vysvětlení veličin:</w:t>
            </w:r>
          </w:p>
          <w:p w14:paraId="15DF2885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EPS -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emise primárních a prekurzorů sekundárních částic (kg/rok) </w:t>
            </w:r>
          </w:p>
          <w:p w14:paraId="2D2244EB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PM</w:t>
            </w:r>
            <w:r w:rsidRPr="00E72B2A">
              <w:rPr>
                <w:rFonts w:asciiTheme="minorHAnsi" w:hAnsiTheme="minorHAnsi"/>
                <w:sz w:val="20"/>
                <w:szCs w:val="20"/>
                <w:vertAlign w:val="subscript"/>
              </w:rPr>
              <w:t>10</w:t>
            </w:r>
            <w:r w:rsidRPr="00DB7090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- tuhé znečišťující látky (kg/rok) </w:t>
            </w:r>
          </w:p>
          <w:p w14:paraId="16BAB39B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NO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>x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 - oxidy dusíku (kg/rok) </w:t>
            </w:r>
          </w:p>
          <w:p w14:paraId="1388F8AF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SO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2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- oxid siřičitý (kg/rok) </w:t>
            </w:r>
          </w:p>
          <w:p w14:paraId="08B90DF8" w14:textId="77777777" w:rsidR="002D603F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lastRenderedPageBreak/>
              <w:t>NH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>3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 - amoniak (kg/rok) </w:t>
            </w:r>
          </w:p>
          <w:p w14:paraId="3E59A601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</w:p>
          <w:p w14:paraId="10425613" w14:textId="77777777" w:rsidR="002D603F" w:rsidRPr="0004657C" w:rsidRDefault="002D603F" w:rsidP="002D603F">
            <w:pPr>
              <w:pStyle w:val="Vrazncitt"/>
              <w:spacing w:before="120" w:after="120"/>
              <w:ind w:left="567" w:right="567"/>
              <w:jc w:val="center"/>
              <w:rPr>
                <w:b/>
                <w:i/>
              </w:rPr>
            </w:pPr>
            <w:r w:rsidRPr="00907B81">
              <w:rPr>
                <w:b/>
                <w:i/>
              </w:rPr>
              <w:t>Emise amon</w:t>
            </w:r>
            <w:r>
              <w:rPr>
                <w:b/>
                <w:i/>
              </w:rPr>
              <w:t>iaku do dalších výpočtů nevstupu</w:t>
            </w:r>
            <w:r w:rsidRPr="00907B81">
              <w:rPr>
                <w:b/>
                <w:i/>
              </w:rPr>
              <w:t xml:space="preserve">jí, neboť jsou </w:t>
            </w:r>
            <w:r>
              <w:rPr>
                <w:b/>
                <w:i/>
              </w:rPr>
              <w:t xml:space="preserve">v tomto případě </w:t>
            </w:r>
            <w:r w:rsidRPr="00907B81">
              <w:rPr>
                <w:b/>
                <w:i/>
              </w:rPr>
              <w:t>zanedbatelné a výslednou hodnotu EPS prakticky neovlivní.</w:t>
            </w:r>
          </w:p>
          <w:p w14:paraId="5BECC4FB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bCs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Cs/>
                <w:sz w:val="20"/>
                <w:szCs w:val="20"/>
              </w:rPr>
              <w:t>Výsledný vzorec vypadá tedy takto:</w:t>
            </w:r>
          </w:p>
          <w:p w14:paraId="254DC639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jc w:val="center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EPS = (1 × PM</w:t>
            </w:r>
            <w:r w:rsidRPr="004A3F2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(0,88 × NO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x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(0,54 × SO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2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</w:t>
            </w:r>
          </w:p>
          <w:p w14:paraId="33BA47E8" w14:textId="77777777" w:rsidR="002D603F" w:rsidRPr="001C6532" w:rsidRDefault="002D603F" w:rsidP="002D603F">
            <w:pPr>
              <w:pStyle w:val="Default"/>
              <w:spacing w:before="120" w:after="120"/>
              <w:ind w:right="170"/>
              <w:rPr>
                <w:rFonts w:asciiTheme="minorHAnsi" w:hAnsiTheme="minorHAnsi"/>
                <w:b/>
                <w:bCs/>
                <w:i/>
                <w:sz w:val="23"/>
                <w:szCs w:val="23"/>
              </w:rPr>
            </w:pPr>
          </w:p>
          <w:p w14:paraId="0C6568E6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Výpočet indikátoru pro nahrazovaná naftová vozidla</w:t>
            </w:r>
          </w:p>
          <w:p w14:paraId="2975FC53" w14:textId="77777777" w:rsidR="002D603F" w:rsidRDefault="002D603F" w:rsidP="002D603F">
            <w:pPr>
              <w:pStyle w:val="Default"/>
              <w:spacing w:before="120" w:after="120"/>
              <w:ind w:left="170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B3E30">
              <w:rPr>
                <w:rFonts w:asciiTheme="minorHAnsi" w:hAnsiTheme="minorHAnsi"/>
                <w:sz w:val="20"/>
                <w:szCs w:val="20"/>
              </w:rPr>
              <w:t>Nejprve jsou stanoveny emise autobusů určených k nahrazení. Jako vstupní hodnoty měrných emisních faktorů výše uvedených látek jsou použity hodnoty na úrovni emisního limitu, které daný autobus splňuje (tab. 1). Emisní limity jsou uvedeny u NOx a PM</w:t>
            </w:r>
            <w:r w:rsidRPr="00EB3E30">
              <w:rPr>
                <w:rFonts w:asciiTheme="minorHAnsi" w:hAnsiTheme="minorHAnsi"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asciiTheme="minorHAnsi" w:hAnsiTheme="minorHAnsi"/>
                <w:sz w:val="20"/>
                <w:szCs w:val="20"/>
              </w:rPr>
              <w:t xml:space="preserve"> v gramech na kWh výkonu motoru, pro oxid siřičitý je emisní faktor stanoven na základě obsahu síry v palivu (20 mg/kg nafty) a vzhledem k minimálnímu příspěvku této znečišťující látky k celkové výši emisí je uvažován jednotně pro všechny emisní limity EURO. </w:t>
            </w:r>
          </w:p>
          <w:p w14:paraId="2E5DBB8B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CF09099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i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Cs/>
                <w:i/>
                <w:sz w:val="20"/>
                <w:szCs w:val="20"/>
              </w:rPr>
              <w:t>Tab. 1. Měrné emisní faktory (EF) pro znečišťující látky – dieselové autobusy</w:t>
            </w:r>
          </w:p>
          <w:tbl>
            <w:tblPr>
              <w:tblStyle w:val="Svtlseznam"/>
              <w:tblW w:w="9076" w:type="dxa"/>
              <w:tblLayout w:type="fixed"/>
              <w:tblLook w:val="0000" w:firstRow="0" w:lastRow="0" w:firstColumn="0" w:lastColumn="0" w:noHBand="0" w:noVBand="0"/>
            </w:tblPr>
            <w:tblGrid>
              <w:gridCol w:w="2208"/>
              <w:gridCol w:w="981"/>
              <w:gridCol w:w="981"/>
              <w:gridCol w:w="981"/>
              <w:gridCol w:w="982"/>
              <w:gridCol w:w="981"/>
              <w:gridCol w:w="981"/>
              <w:gridCol w:w="981"/>
            </w:tblGrid>
            <w:tr w:rsidR="002D603F" w:rsidRPr="00EB3E30" w14:paraId="06426EDA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13E813E7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Znečišťující látka</w:t>
                  </w:r>
                </w:p>
              </w:tc>
              <w:tc>
                <w:tcPr>
                  <w:tcW w:w="981" w:type="dxa"/>
                </w:tcPr>
                <w:p w14:paraId="495041FC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27003BD0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1</w:t>
                  </w:r>
                </w:p>
              </w:tc>
              <w:tc>
                <w:tcPr>
                  <w:tcW w:w="981" w:type="dxa"/>
                </w:tcPr>
                <w:p w14:paraId="4F03572E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4E345787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3</w:t>
                  </w:r>
                </w:p>
              </w:tc>
              <w:tc>
                <w:tcPr>
                  <w:tcW w:w="981" w:type="dxa"/>
                </w:tcPr>
                <w:p w14:paraId="490EAB6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52D1CA88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5</w:t>
                  </w:r>
                </w:p>
              </w:tc>
              <w:tc>
                <w:tcPr>
                  <w:tcW w:w="981" w:type="dxa"/>
                </w:tcPr>
                <w:p w14:paraId="5553ADE1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6</w:t>
                  </w:r>
                </w:p>
              </w:tc>
            </w:tr>
            <w:tr w:rsidR="002D603F" w:rsidRPr="00EB3E30" w14:paraId="2272D5FC" w14:textId="77777777" w:rsidTr="002D603F">
              <w:trPr>
                <w:trHeight w:val="11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3DA35A11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NO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X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</w:t>
                  </w:r>
                </w:p>
              </w:tc>
              <w:tc>
                <w:tcPr>
                  <w:tcW w:w="981" w:type="dxa"/>
                </w:tcPr>
                <w:p w14:paraId="3EC312D8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14,4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5CB6CC0C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981" w:type="dxa"/>
                </w:tcPr>
                <w:p w14:paraId="6BBED18E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7,0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127A35B1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81" w:type="dxa"/>
                </w:tcPr>
                <w:p w14:paraId="756A799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3,5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10C6F80A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981" w:type="dxa"/>
                </w:tcPr>
                <w:p w14:paraId="3C264005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0,46</w:t>
                  </w:r>
                </w:p>
              </w:tc>
            </w:tr>
            <w:tr w:rsidR="002D603F" w:rsidRPr="00EB3E30" w14:paraId="57E088B0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2A87FA0B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PM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</w:t>
                  </w:r>
                </w:p>
              </w:tc>
              <w:tc>
                <w:tcPr>
                  <w:tcW w:w="981" w:type="dxa"/>
                </w:tcPr>
                <w:p w14:paraId="3D90352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0,47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605361F2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0,34</w:t>
                  </w:r>
                </w:p>
              </w:tc>
              <w:tc>
                <w:tcPr>
                  <w:tcW w:w="981" w:type="dxa"/>
                </w:tcPr>
                <w:p w14:paraId="79E15FC5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0,19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5624071F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0,15</w:t>
                  </w:r>
                </w:p>
              </w:tc>
              <w:tc>
                <w:tcPr>
                  <w:tcW w:w="981" w:type="dxa"/>
                </w:tcPr>
                <w:p w14:paraId="3F320229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7C89A6D3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0,03</w:t>
                  </w:r>
                </w:p>
              </w:tc>
              <w:tc>
                <w:tcPr>
                  <w:tcW w:w="981" w:type="dxa"/>
                </w:tcPr>
                <w:p w14:paraId="47D1D4E1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0,01</w:t>
                  </w:r>
                </w:p>
              </w:tc>
            </w:tr>
            <w:tr w:rsidR="002D603F" w:rsidRPr="00EB3E30" w14:paraId="6845DC3E" w14:textId="77777777" w:rsidTr="002D603F">
              <w:trPr>
                <w:trHeight w:val="11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5BE8B6AE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r w:rsidRPr="004A3F2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(g/kg nafty)</w:t>
                  </w:r>
                </w:p>
              </w:tc>
              <w:tc>
                <w:tcPr>
                  <w:tcW w:w="981" w:type="dxa"/>
                </w:tcPr>
                <w:p w14:paraId="09B51CE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0421E49E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14:paraId="234C4510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40022B1D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14:paraId="2E3CC922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6CFCEFC5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14:paraId="3E875147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</w:tr>
          </w:tbl>
          <w:p w14:paraId="5B1F335A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5701F510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color w:val="000000"/>
                <w:sz w:val="20"/>
                <w:szCs w:val="20"/>
              </w:rPr>
              <w:t>Aby byl možné hodnoty limitů převést na měrnou emisi, je nutné znát následující parametry:</w:t>
            </w:r>
          </w:p>
          <w:p w14:paraId="012339D6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F6E841C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bCs/>
                <w:i/>
                <w:color w:val="000000"/>
                <w:sz w:val="20"/>
                <w:szCs w:val="20"/>
              </w:rPr>
              <w:t>Tab. 2. Hodnoty vstupních parametrů pro výpočet měrných emisí – dieselové autobusy</w:t>
            </w:r>
          </w:p>
          <w:tbl>
            <w:tblPr>
              <w:tblStyle w:val="Svtlseznam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796"/>
              <w:gridCol w:w="1276"/>
              <w:gridCol w:w="3859"/>
            </w:tblGrid>
            <w:tr w:rsidR="002D603F" w:rsidRPr="00907B81" w14:paraId="52B6F465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8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0DCEF6F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57E47FD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Zkratka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740A85A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907B81" w14:paraId="6E6A3696" w14:textId="77777777" w:rsidTr="002D603F">
              <w:trPr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4FCAA985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výhřevnost motorové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2CD6438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32EAA289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11,8 kWh/kg </w:t>
                  </w:r>
                </w:p>
              </w:tc>
            </w:tr>
            <w:tr w:rsidR="002D603F" w:rsidRPr="00907B81" w14:paraId="16BBA919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7BBD0A0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hustota motorové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1E35CFC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ρ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1170280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832,5 kg/m</w:t>
                  </w: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</w:tr>
            <w:tr w:rsidR="002D603F" w:rsidRPr="00907B81" w14:paraId="018CC025" w14:textId="77777777" w:rsidTr="002D603F">
              <w:trPr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3852EBCA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průměrná spotřeba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602C77B4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24F90DA2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i/>
                      <w:color w:val="632423" w:themeColor="accent2" w:themeShade="80"/>
                      <w:sz w:val="20"/>
                      <w:szCs w:val="20"/>
                    </w:rPr>
                    <w:t>40 l / 100 km – příklad, (žadatel uvede podle reálného stavu)</w:t>
                  </w:r>
                </w:p>
              </w:tc>
            </w:tr>
            <w:tr w:rsidR="002D603F" w:rsidRPr="00907B81" w14:paraId="64029A85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0FB3F91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účinnost motoru a přeměny energie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0667192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η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3C3BFA6A" w14:textId="77777777" w:rsidR="002D603F" w:rsidRPr="00EB3E30" w:rsidRDefault="00BE13C7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33,3%,</w:t>
                  </w:r>
                  <w:r w:rsidR="00381D8F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do vzorce dosazujte jako desetinné číslo  (</w:t>
                  </w:r>
                  <w:r w:rsidR="00CA4801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0,333</w:t>
                  </w: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</w:tbl>
          <w:p w14:paraId="52EED8F3" w14:textId="77777777" w:rsidR="002D603F" w:rsidRDefault="002D603F" w:rsidP="00ED4B93">
            <w:pPr>
              <w:pStyle w:val="Nadpis2"/>
              <w:spacing w:before="120" w:after="120"/>
              <w:ind w:right="170"/>
              <w:jc w:val="left"/>
              <w:rPr>
                <w:caps w:val="0"/>
                <w:sz w:val="22"/>
                <w:szCs w:val="22"/>
              </w:rPr>
            </w:pPr>
          </w:p>
          <w:p w14:paraId="3005CD0D" w14:textId="77777777" w:rsidR="002D603F" w:rsidRPr="003A598B" w:rsidRDefault="002D603F" w:rsidP="002D603F">
            <w:pPr>
              <w:pStyle w:val="Nadpis2"/>
              <w:spacing w:before="120" w:after="120"/>
              <w:ind w:left="170" w:right="170"/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V</w:t>
            </w:r>
            <w:r w:rsidRPr="008071BC">
              <w:rPr>
                <w:caps w:val="0"/>
                <w:sz w:val="22"/>
                <w:szCs w:val="22"/>
              </w:rPr>
              <w:t xml:space="preserve">ýpočet měrných emisí </w:t>
            </w:r>
            <w:r>
              <w:rPr>
                <w:caps w:val="0"/>
                <w:sz w:val="22"/>
                <w:szCs w:val="22"/>
              </w:rPr>
              <w:t>NO</w:t>
            </w:r>
            <w:r>
              <w:rPr>
                <w:caps w:val="0"/>
                <w:sz w:val="22"/>
                <w:szCs w:val="22"/>
                <w:vertAlign w:val="subscript"/>
              </w:rPr>
              <w:t>x</w:t>
            </w:r>
            <w:r>
              <w:rPr>
                <w:caps w:val="0"/>
                <w:sz w:val="22"/>
                <w:szCs w:val="22"/>
              </w:rPr>
              <w:t xml:space="preserve"> a PM</w:t>
            </w:r>
            <w:r>
              <w:rPr>
                <w:caps w:val="0"/>
                <w:sz w:val="22"/>
                <w:szCs w:val="22"/>
                <w:vertAlign w:val="subscript"/>
              </w:rPr>
              <w:t>10</w:t>
            </w:r>
            <w:r w:rsidRPr="008071BC">
              <w:rPr>
                <w:caps w:val="0"/>
                <w:sz w:val="22"/>
                <w:szCs w:val="22"/>
              </w:rPr>
              <w:t xml:space="preserve"> je proveden </w:t>
            </w:r>
            <w:r>
              <w:rPr>
                <w:caps w:val="0"/>
                <w:sz w:val="22"/>
                <w:szCs w:val="22"/>
              </w:rPr>
              <w:t>po</w:t>
            </w:r>
            <w:r w:rsidRPr="008071BC">
              <w:rPr>
                <w:caps w:val="0"/>
                <w:sz w:val="22"/>
                <w:szCs w:val="22"/>
              </w:rPr>
              <w:t xml:space="preserve">dle vzorce: </w:t>
            </w:r>
          </w:p>
          <w:p w14:paraId="69983F57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NO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x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H × (ρ/1000) × (S/100) × η × 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</w:p>
          <w:p w14:paraId="10C2E1B9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PM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H × (ρ/1000) × (S/100) × η × 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</w:p>
          <w:p w14:paraId="1F5A2603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0"/>
                <w:szCs w:val="20"/>
                <w:vertAlign w:val="subscript"/>
              </w:rPr>
            </w:pPr>
          </w:p>
          <w:p w14:paraId="60711695" w14:textId="77777777" w:rsidR="002D603F" w:rsidRPr="00907B81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  <w:p w14:paraId="6D7C35A2" w14:textId="77777777" w:rsidR="002D603F" w:rsidRPr="008071BC" w:rsidRDefault="002D603F" w:rsidP="002D603F">
            <w:pPr>
              <w:pStyle w:val="Nadpis2"/>
              <w:spacing w:before="120" w:after="120"/>
              <w:ind w:left="170" w:right="170"/>
              <w:rPr>
                <w:sz w:val="22"/>
                <w:szCs w:val="22"/>
              </w:rPr>
            </w:pPr>
            <w:r w:rsidRPr="008071BC">
              <w:rPr>
                <w:sz w:val="22"/>
                <w:szCs w:val="22"/>
              </w:rPr>
              <w:t>V</w:t>
            </w:r>
            <w:r>
              <w:rPr>
                <w:caps w:val="0"/>
                <w:sz w:val="22"/>
                <w:szCs w:val="22"/>
              </w:rPr>
              <w:t>ýpočet měrných emisí SO</w:t>
            </w:r>
            <w:r>
              <w:rPr>
                <w:caps w:val="0"/>
                <w:sz w:val="22"/>
                <w:szCs w:val="22"/>
                <w:vertAlign w:val="subscript"/>
              </w:rPr>
              <w:t>2</w:t>
            </w:r>
            <w:r w:rsidRPr="008071BC">
              <w:rPr>
                <w:caps w:val="0"/>
                <w:sz w:val="22"/>
                <w:szCs w:val="22"/>
              </w:rPr>
              <w:t xml:space="preserve"> je proveden </w:t>
            </w:r>
            <w:r>
              <w:rPr>
                <w:caps w:val="0"/>
                <w:sz w:val="22"/>
                <w:szCs w:val="22"/>
              </w:rPr>
              <w:t>po</w:t>
            </w:r>
            <w:r w:rsidRPr="008071BC">
              <w:rPr>
                <w:caps w:val="0"/>
                <w:sz w:val="22"/>
                <w:szCs w:val="22"/>
              </w:rPr>
              <w:t xml:space="preserve">dle vzorce: </w:t>
            </w:r>
          </w:p>
          <w:p w14:paraId="51226A15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r w:rsidR="00C23BA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ρ/1000</w:t>
            </w:r>
            <w:r w:rsidR="00C23BA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× (S/100) × 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</w:p>
          <w:p w14:paraId="304C8690" w14:textId="77777777" w:rsidR="002D603F" w:rsidRDefault="002D603F" w:rsidP="002D603F">
            <w:pPr>
              <w:spacing w:before="120" w:after="120"/>
              <w:ind w:left="170" w:right="170"/>
            </w:pPr>
          </w:p>
          <w:p w14:paraId="02D3217A" w14:textId="77777777" w:rsidR="002D603F" w:rsidRPr="00EB3E30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>Výsledné hodnoty jsou dosazeny do výše uvedeného vzorce: Jeho celková podoba tedy vypadá takto:</w:t>
            </w:r>
          </w:p>
          <w:p w14:paraId="78B7ECA8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bookmarkStart w:id="6" w:name="OLE_LINK1"/>
            <w:r w:rsidRPr="00EB3E30">
              <w:rPr>
                <w:b/>
                <w:bCs/>
                <w:i/>
                <w:sz w:val="20"/>
                <w:szCs w:val="20"/>
              </w:rPr>
              <w:t xml:space="preserve">EPS = (1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 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  <w:r w:rsidRPr="00EB3E30">
              <w:rPr>
                <w:b/>
                <w:bCs/>
                <w:i/>
                <w:sz w:val="20"/>
                <w:szCs w:val="20"/>
              </w:rPr>
              <w:t xml:space="preserve">) + (0,88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 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  <w:r w:rsidRPr="00EB3E30">
              <w:rPr>
                <w:b/>
                <w:bCs/>
                <w:i/>
                <w:sz w:val="20"/>
                <w:szCs w:val="20"/>
              </w:rPr>
              <w:t xml:space="preserve">) </w:t>
            </w:r>
          </w:p>
          <w:p w14:paraId="42FED0BC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 xml:space="preserve">+ (0,54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EB3E30">
              <w:rPr>
                <w:b/>
                <w:bCs/>
                <w:i/>
                <w:sz w:val="20"/>
                <w:szCs w:val="20"/>
              </w:rPr>
              <w:t>)</w:t>
            </w:r>
          </w:p>
          <w:bookmarkEnd w:id="6"/>
          <w:p w14:paraId="449A95D6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79730EE7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Cs/>
                <w:u w:val="single"/>
              </w:rPr>
            </w:pPr>
            <w:r w:rsidRPr="003407CC">
              <w:rPr>
                <w:bCs/>
                <w:u w:val="single"/>
              </w:rPr>
              <w:t xml:space="preserve">Výsledkem výpočtu je </w:t>
            </w:r>
            <w:r>
              <w:rPr>
                <w:bCs/>
                <w:u w:val="single"/>
              </w:rPr>
              <w:t>množství</w:t>
            </w:r>
            <w:r w:rsidRPr="003407CC">
              <w:rPr>
                <w:bCs/>
                <w:u w:val="single"/>
              </w:rPr>
              <w:t xml:space="preserve"> emisí 1 vozidla na 1 kilometr v gramech.</w:t>
            </w:r>
          </w:p>
          <w:p w14:paraId="4E0F9DCB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</w:rPr>
            </w:pPr>
          </w:p>
          <w:p w14:paraId="4825418C" w14:textId="77777777" w:rsidR="002D603F" w:rsidRPr="003407CC" w:rsidRDefault="002D603F" w:rsidP="002D603F">
            <w:pPr>
              <w:pStyle w:val="Nadpis2"/>
              <w:spacing w:before="120" w:after="120"/>
              <w:ind w:left="170" w:right="170"/>
              <w:rPr>
                <w:bCs/>
                <w:u w:val="single"/>
              </w:rPr>
            </w:pPr>
            <w:r>
              <w:rPr>
                <w:caps w:val="0"/>
              </w:rPr>
              <w:t>Emise za 1 vozidlo v tunách za 1 rok</w:t>
            </w:r>
          </w:p>
          <w:p w14:paraId="585078AA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  <w:sz w:val="20"/>
                <w:szCs w:val="20"/>
              </w:rPr>
            </w:pPr>
            <w:r w:rsidRPr="00EB3E30">
              <w:rPr>
                <w:bCs/>
                <w:sz w:val="20"/>
                <w:szCs w:val="20"/>
              </w:rPr>
              <w:t>Pro výpočet roční emise v tunách za vozidlo se měrné množství EPS vynásobí počtem kilometrů, které vozidlo ujede za 1 rok, a abychom dostali výsledek v tunách, vydělí se rovnice 1 000 000.</w:t>
            </w:r>
          </w:p>
          <w:p w14:paraId="223205AD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bCs/>
                <w:sz w:val="20"/>
                <w:szCs w:val="20"/>
              </w:rPr>
            </w:pPr>
          </w:p>
          <w:p w14:paraId="7410713F" w14:textId="77777777" w:rsidR="002D603F" w:rsidRPr="00EB3E30" w:rsidRDefault="002D603F" w:rsidP="002D603F">
            <w:pPr>
              <w:spacing w:before="120" w:after="120"/>
              <w:ind w:left="170" w:right="17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t xml:space="preserve">Emise za 1 vozidlo v tunách za 1 rok=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EPS*km za rok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1 000 000</m:t>
                  </m:r>
                </m:den>
              </m:f>
            </m:oMath>
          </w:p>
          <w:p w14:paraId="35D56EF4" w14:textId="77777777" w:rsidR="002D603F" w:rsidRPr="001C6532" w:rsidRDefault="002D603F" w:rsidP="002D603F">
            <w:pPr>
              <w:spacing w:before="120" w:after="120"/>
              <w:ind w:left="170" w:right="170"/>
              <w:jc w:val="center"/>
              <w:rPr>
                <w:b/>
              </w:rPr>
            </w:pPr>
          </w:p>
          <w:p w14:paraId="580E643A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V</w:t>
            </w:r>
            <w:r>
              <w:rPr>
                <w:caps w:val="0"/>
              </w:rPr>
              <w:t>ýchozí hodnota (součet za všechna nahrazovaná vozidla)</w:t>
            </w:r>
          </w:p>
          <w:p w14:paraId="3B27D9E4" w14:textId="77777777" w:rsidR="002D603F" w:rsidRPr="0037240E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>Posledním krokem výpočtu je sečtení výsledných hodnot za jednotlivé autobusy a to následovně:</w:t>
            </w:r>
          </w:p>
          <w:p w14:paraId="02DECAFC" w14:textId="77777777" w:rsidR="002D603F" w:rsidRPr="0037240E" w:rsidRDefault="002D603F" w:rsidP="002D603F">
            <w:pPr>
              <w:pStyle w:val="Odstavecseseznamem"/>
              <w:numPr>
                <w:ilvl w:val="0"/>
                <w:numId w:val="7"/>
              </w:numPr>
              <w:spacing w:before="120" w:after="120" w:line="252" w:lineRule="auto"/>
              <w:ind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 xml:space="preserve">pokud jsou všechna nahrazovaná vozidla shodná, žadatel pouze výslednou hodnotu vynásobí jejich počtem, </w:t>
            </w:r>
          </w:p>
          <w:p w14:paraId="381DE024" w14:textId="77777777" w:rsidR="002D603F" w:rsidRPr="0037240E" w:rsidRDefault="002D603F" w:rsidP="002D603F">
            <w:pPr>
              <w:pStyle w:val="Odstavecseseznamem"/>
              <w:numPr>
                <w:ilvl w:val="0"/>
                <w:numId w:val="7"/>
              </w:numPr>
              <w:spacing w:before="120" w:after="120" w:line="252" w:lineRule="auto"/>
              <w:ind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>pokud se nahrazovaná vozidla liší, provede příjemce pro každou skupinu shodných vozidel výpočet zvlášť a výsledky sečte.</w:t>
            </w:r>
          </w:p>
          <w:p w14:paraId="6D2CA091" w14:textId="77777777" w:rsidR="002D603F" w:rsidRDefault="002D603F" w:rsidP="002D603F">
            <w:pPr>
              <w:spacing w:before="120" w:after="120" w:line="252" w:lineRule="auto"/>
              <w:ind w:right="170"/>
            </w:pPr>
          </w:p>
          <w:p w14:paraId="6418C333" w14:textId="77777777" w:rsidR="002D603F" w:rsidRDefault="002D603F" w:rsidP="00ED4B93">
            <w:pPr>
              <w:pStyle w:val="Nadpis3"/>
              <w:spacing w:before="120" w:after="120"/>
              <w:ind w:left="851" w:right="851"/>
            </w:pPr>
            <w:r w:rsidRPr="001C6532">
              <w:rPr>
                <w:i/>
              </w:rPr>
              <w:t>Výsledná hodnota představuje hmotnost emisí primárních částic a prekurzorů sekundárních částic v</w:t>
            </w:r>
            <w:r>
              <w:rPr>
                <w:i/>
              </w:rPr>
              <w:t> </w:t>
            </w:r>
            <w:r w:rsidRPr="001C6532">
              <w:rPr>
                <w:i/>
              </w:rPr>
              <w:t>tunách</w:t>
            </w:r>
            <w:r>
              <w:rPr>
                <w:i/>
              </w:rPr>
              <w:t xml:space="preserve"> produkovaných naftovÝmi vozidly</w:t>
            </w:r>
            <w:r w:rsidRPr="001C6532">
              <w:rPr>
                <w:i/>
              </w:rPr>
              <w:t>, která mají být v rámci projektu nahrazena – tato hodnota je výchozí hodnotou indikátoru.</w:t>
            </w:r>
          </w:p>
          <w:p w14:paraId="2505645B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</w:p>
          <w:p w14:paraId="5AE7AEF4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Modelový příklad výpočtu pro autobus kategorie EURO 2.</w:t>
            </w:r>
          </w:p>
          <w:p w14:paraId="052FB3D1" w14:textId="77777777" w:rsidR="002D603F" w:rsidRPr="00EB3E30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 xml:space="preserve">Žadatel k výpočtu potřebuje </w:t>
            </w:r>
            <w:r w:rsidR="008710CE">
              <w:rPr>
                <w:sz w:val="20"/>
                <w:szCs w:val="20"/>
              </w:rPr>
              <w:t xml:space="preserve">zjistit </w:t>
            </w:r>
            <w:r w:rsidRPr="00EB3E30">
              <w:rPr>
                <w:sz w:val="20"/>
                <w:szCs w:val="20"/>
              </w:rPr>
              <w:t xml:space="preserve">následující </w:t>
            </w:r>
            <w:r w:rsidR="008710CE">
              <w:rPr>
                <w:sz w:val="20"/>
                <w:szCs w:val="20"/>
              </w:rPr>
              <w:t xml:space="preserve">specifické </w:t>
            </w:r>
            <w:r w:rsidRPr="00EB3E30">
              <w:rPr>
                <w:sz w:val="20"/>
                <w:szCs w:val="20"/>
              </w:rPr>
              <w:t>hodnoty:</w:t>
            </w:r>
          </w:p>
          <w:p w14:paraId="1211FEFE" w14:textId="77777777" w:rsidR="002D603F" w:rsidRPr="00EB3E30" w:rsidRDefault="002D603F" w:rsidP="002D603F">
            <w:pPr>
              <w:pStyle w:val="Odstavecseseznamem"/>
              <w:numPr>
                <w:ilvl w:val="0"/>
                <w:numId w:val="5"/>
              </w:numPr>
              <w:spacing w:before="120" w:after="120" w:line="252" w:lineRule="auto"/>
              <w:ind w:left="512" w:right="170" w:hanging="283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 xml:space="preserve">počet vozokilometrů za rok, zde použita referenční hodnota </w:t>
            </w:r>
            <w:r w:rsidRPr="00EB3E30">
              <w:rPr>
                <w:b/>
                <w:sz w:val="20"/>
                <w:szCs w:val="20"/>
              </w:rPr>
              <w:t>47 800 km</w:t>
            </w:r>
          </w:p>
          <w:p w14:paraId="5770143D" w14:textId="77777777" w:rsidR="002D603F" w:rsidRPr="00EB3E30" w:rsidRDefault="002D603F" w:rsidP="002D603F">
            <w:pPr>
              <w:pStyle w:val="Odstavecseseznamem"/>
              <w:numPr>
                <w:ilvl w:val="0"/>
                <w:numId w:val="5"/>
              </w:numPr>
              <w:spacing w:before="120" w:after="120" w:line="252" w:lineRule="auto"/>
              <w:ind w:left="512" w:right="170" w:hanging="283"/>
              <w:rPr>
                <w:b/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lastRenderedPageBreak/>
              <w:t xml:space="preserve">průměrnou spotřebu </w:t>
            </w:r>
            <w:r w:rsidR="008710CE">
              <w:rPr>
                <w:sz w:val="20"/>
                <w:szCs w:val="20"/>
              </w:rPr>
              <w:t>nafty v l/100 km</w:t>
            </w:r>
            <w:r w:rsidRPr="00EB3E30">
              <w:rPr>
                <w:sz w:val="20"/>
                <w:szCs w:val="20"/>
              </w:rPr>
              <w:t xml:space="preserve">, zde použita referenční hodnota </w:t>
            </w:r>
            <w:r w:rsidRPr="00EB3E30">
              <w:rPr>
                <w:b/>
                <w:sz w:val="20"/>
                <w:szCs w:val="20"/>
              </w:rPr>
              <w:t>40 litrů na 100 km</w:t>
            </w:r>
          </w:p>
          <w:p w14:paraId="01C54A52" w14:textId="77777777" w:rsidR="002D603F" w:rsidRPr="004E7673" w:rsidRDefault="002D603F" w:rsidP="002D603F">
            <w:pPr>
              <w:spacing w:before="120" w:after="120"/>
              <w:ind w:right="170"/>
              <w:rPr>
                <w:b/>
              </w:rPr>
            </w:pPr>
          </w:p>
          <w:p w14:paraId="08C0DD52" w14:textId="77777777" w:rsidR="002D603F" w:rsidRPr="00EB3E30" w:rsidRDefault="002D603F" w:rsidP="00ED4B93">
            <w:pPr>
              <w:spacing w:before="120" w:after="0"/>
              <w:ind w:left="170" w:right="170"/>
              <w:rPr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t>Hodnoty veličin žadatel převezme z</w:t>
            </w:r>
            <w:r w:rsidR="008710CE">
              <w:rPr>
                <w:b/>
                <w:sz w:val="20"/>
                <w:szCs w:val="20"/>
              </w:rPr>
              <w:t xml:space="preserve"> následujících </w:t>
            </w:r>
            <w:r w:rsidRPr="00EB3E30">
              <w:rPr>
                <w:b/>
                <w:sz w:val="20"/>
                <w:szCs w:val="20"/>
              </w:rPr>
              <w:t>tabul</w:t>
            </w:r>
            <w:r w:rsidR="008710CE">
              <w:rPr>
                <w:b/>
                <w:sz w:val="20"/>
                <w:szCs w:val="20"/>
              </w:rPr>
              <w:t>e</w:t>
            </w:r>
            <w:r w:rsidRPr="00EB3E30">
              <w:rPr>
                <w:b/>
                <w:sz w:val="20"/>
                <w:szCs w:val="20"/>
              </w:rPr>
              <w:t>k:</w:t>
            </w:r>
          </w:p>
          <w:tbl>
            <w:tblPr>
              <w:tblStyle w:val="Svtlseznam"/>
              <w:tblpPr w:leftFromText="141" w:rightFromText="141" w:vertAnchor="text" w:horzAnchor="page" w:tblpX="125" w:tblpY="441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06"/>
              <w:gridCol w:w="4015"/>
            </w:tblGrid>
            <w:tr w:rsidR="002D603F" w:rsidRPr="00EB3E30" w14:paraId="131CAEF2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69F748BD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Znečišťující látka </w:t>
                  </w:r>
                </w:p>
              </w:tc>
              <w:tc>
                <w:tcPr>
                  <w:tcW w:w="4015" w:type="dxa"/>
                </w:tcPr>
                <w:p w14:paraId="4EAE631A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EURO 2 </w:t>
                  </w:r>
                </w:p>
              </w:tc>
            </w:tr>
            <w:tr w:rsidR="002D603F" w:rsidRPr="00EB3E30" w14:paraId="0B1A1F29" w14:textId="77777777" w:rsidTr="002D603F">
              <w:trPr>
                <w:trHeight w:val="8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4E702CDD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NO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X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 </w:t>
                  </w:r>
                </w:p>
              </w:tc>
              <w:tc>
                <w:tcPr>
                  <w:tcW w:w="4015" w:type="dxa"/>
                </w:tcPr>
                <w:p w14:paraId="407607E8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7,0 </w:t>
                  </w:r>
                </w:p>
              </w:tc>
            </w:tr>
            <w:tr w:rsidR="002D603F" w:rsidRPr="00EB3E30" w14:paraId="1FB7963D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042A0D23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PM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 </w:t>
                  </w:r>
                </w:p>
              </w:tc>
              <w:tc>
                <w:tcPr>
                  <w:tcW w:w="4015" w:type="dxa"/>
                </w:tcPr>
                <w:p w14:paraId="5C46B5C1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0,19 </w:t>
                  </w:r>
                </w:p>
              </w:tc>
            </w:tr>
            <w:tr w:rsidR="002D603F" w:rsidRPr="00EB3E30" w14:paraId="221D67BB" w14:textId="77777777" w:rsidTr="002D603F">
              <w:trPr>
                <w:trHeight w:val="8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610B75EE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r w:rsidRPr="00736609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(g/kg nafty) </w:t>
                  </w:r>
                </w:p>
              </w:tc>
              <w:tc>
                <w:tcPr>
                  <w:tcW w:w="4015" w:type="dxa"/>
                </w:tcPr>
                <w:p w14:paraId="0FB80827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0,02 </w:t>
                  </w:r>
                </w:p>
              </w:tc>
            </w:tr>
          </w:tbl>
          <w:p w14:paraId="5D21472D" w14:textId="77777777" w:rsidR="002D603F" w:rsidRPr="00EB3E30" w:rsidRDefault="002D603F" w:rsidP="002D603F">
            <w:pPr>
              <w:spacing w:before="120" w:after="120"/>
              <w:ind w:right="170"/>
              <w:rPr>
                <w:b/>
                <w:sz w:val="20"/>
                <w:szCs w:val="20"/>
              </w:rPr>
            </w:pPr>
          </w:p>
          <w:tbl>
            <w:tblPr>
              <w:tblStyle w:val="Svtlseznam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371"/>
              <w:gridCol w:w="2268"/>
              <w:gridCol w:w="3260"/>
            </w:tblGrid>
            <w:tr w:rsidR="002D603F" w:rsidRPr="00EB3E30" w14:paraId="1B2FA2A3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60B465C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03B29596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Zkratka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752157B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EB3E30" w14:paraId="01C914DC" w14:textId="77777777" w:rsidTr="002D603F">
              <w:trPr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0D7F0AE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výhřevnost motorové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5DD10E09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3814673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11,8 kWh/kg </w:t>
                  </w:r>
                </w:p>
              </w:tc>
            </w:tr>
            <w:tr w:rsidR="002D603F" w:rsidRPr="00EB3E30" w14:paraId="2EE3BC9D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1A31E7E8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hustota motorové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079A7AAA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ρ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4C608BE5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832,5 kg/m</w:t>
                  </w:r>
                  <w:r w:rsidRPr="00736609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D603F" w:rsidRPr="00EB3E30" w14:paraId="726EDA9C" w14:textId="77777777" w:rsidTr="002D603F">
              <w:trPr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71C7A68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průměrná spotřeba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134B8A0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53FB801E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ED4B93">
                    <w:rPr>
                      <w:rFonts w:cs="Times New Roman"/>
                      <w:color w:val="000000"/>
                      <w:sz w:val="20"/>
                      <w:szCs w:val="20"/>
                    </w:rPr>
                    <w:t>40 l / 100 km</w:t>
                  </w:r>
                </w:p>
              </w:tc>
            </w:tr>
            <w:tr w:rsidR="002D603F" w:rsidRPr="00EB3E30" w14:paraId="6822BE1D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21C5791A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účinnost motoru a přeměny energie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2FC3999C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η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7DE8D43A" w14:textId="77777777" w:rsidR="002D603F" w:rsidRPr="00EB3E30" w:rsidRDefault="008710CE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0,333</w:t>
                  </w:r>
                  <w:r w:rsidR="002D603F"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7E440EB" w14:textId="77777777" w:rsidR="002D603F" w:rsidRPr="00EB3E30" w:rsidRDefault="002D603F" w:rsidP="002D603F">
            <w:pPr>
              <w:spacing w:before="120" w:after="120"/>
              <w:ind w:left="170" w:right="170"/>
              <w:rPr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t xml:space="preserve">Hodnoty </w:t>
            </w:r>
            <w:r w:rsidR="0080696C">
              <w:rPr>
                <w:b/>
                <w:sz w:val="20"/>
                <w:szCs w:val="20"/>
              </w:rPr>
              <w:t>dosadí</w:t>
            </w:r>
            <w:r w:rsidR="0080696C" w:rsidRPr="00EB3E30">
              <w:rPr>
                <w:b/>
                <w:sz w:val="20"/>
                <w:szCs w:val="20"/>
              </w:rPr>
              <w:t xml:space="preserve"> </w:t>
            </w:r>
            <w:r w:rsidRPr="00EB3E30">
              <w:rPr>
                <w:b/>
                <w:sz w:val="20"/>
                <w:szCs w:val="20"/>
              </w:rPr>
              <w:t>do vzorce:</w:t>
            </w:r>
          </w:p>
          <w:p w14:paraId="2A9B3DCE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 xml:space="preserve">EPS = (1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H × ρ/1000 × S/100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  <w:r w:rsidRPr="00EB3E30">
              <w:rPr>
                <w:b/>
                <w:bCs/>
                <w:i/>
                <w:sz w:val="20"/>
                <w:szCs w:val="20"/>
              </w:rPr>
              <w:t>) + (0,88 ×</w:t>
            </w:r>
            <w:r w:rsidR="0080696C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</w:t>
            </w:r>
            <w:r w:rsidR="0080696C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ρ/1000 × S/100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  <w:r w:rsidRPr="00EB3E30">
              <w:rPr>
                <w:b/>
                <w:bCs/>
                <w:i/>
                <w:sz w:val="20"/>
                <w:szCs w:val="20"/>
              </w:rPr>
              <w:t xml:space="preserve">) </w:t>
            </w:r>
          </w:p>
          <w:p w14:paraId="209ED7C9" w14:textId="77777777" w:rsidR="00381D8F" w:rsidRPr="00F5086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>+ (0,54 ×</w:t>
            </w:r>
            <w:r w:rsidR="0080696C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ρ/1000 ×</w:t>
            </w:r>
            <w:r w:rsidR="0080696C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S/100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EB3E30">
              <w:rPr>
                <w:b/>
                <w:bCs/>
                <w:i/>
                <w:sz w:val="20"/>
                <w:szCs w:val="20"/>
              </w:rPr>
              <w:t>)</w:t>
            </w:r>
          </w:p>
          <w:p w14:paraId="23F4DD24" w14:textId="77777777" w:rsidR="002D603F" w:rsidRDefault="002D603F" w:rsidP="007C6078">
            <w:p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caps/>
                <w:color w:val="632423" w:themeColor="accent2" w:themeShade="80"/>
                <w:spacing w:val="20"/>
                <w:sz w:val="28"/>
                <w:szCs w:val="28"/>
              </w:rPr>
            </w:pPr>
          </w:p>
          <w:p w14:paraId="03D47138" w14:textId="77777777" w:rsidR="002D603F" w:rsidRPr="00740B68" w:rsidRDefault="002D603F" w:rsidP="002D603F">
            <w:pPr>
              <w:pStyle w:val="Nadpis1"/>
              <w:spacing w:before="120" w:after="120"/>
              <w:ind w:left="170" w:right="170"/>
              <w:rPr>
                <w:sz w:val="24"/>
                <w:szCs w:val="24"/>
              </w:rPr>
            </w:pPr>
            <w:r w:rsidRPr="00740B68">
              <w:rPr>
                <w:sz w:val="24"/>
                <w:szCs w:val="24"/>
              </w:rPr>
              <w:t>výpočet cílové hodnoty indikátoru emisí primárních částic a prekurzorů sekundárních částic pro CNG a LNG autobusy</w:t>
            </w:r>
          </w:p>
          <w:p w14:paraId="08081B3B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color w:val="000000"/>
                <w:sz w:val="20"/>
                <w:szCs w:val="20"/>
              </w:rPr>
              <w:t>Vstupní hodnoty měrných emisí jsou odvozeny na základ</w:t>
            </w:r>
            <w:r>
              <w:rPr>
                <w:rFonts w:cs="Times New Roman"/>
                <w:color w:val="000000"/>
                <w:sz w:val="20"/>
                <w:szCs w:val="20"/>
              </w:rPr>
              <w:t>ě informací dodavatelů autobusů, žadatel může použít hodnoty dodané výrobcem vozidla.</w:t>
            </w:r>
            <w:r w:rsidRPr="00EB3E3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3A096E84" w14:textId="77777777" w:rsidR="002D603F" w:rsidRPr="005B5F31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6E18DC1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Tab. 3. Měrné emisní faktory pro znečišťující látky – CNG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a LNG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autobusy</w:t>
            </w:r>
          </w:p>
          <w:tbl>
            <w:tblPr>
              <w:tblW w:w="880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38"/>
              <w:gridCol w:w="4564"/>
            </w:tblGrid>
            <w:tr w:rsidR="002D603F" w:rsidRPr="00EB3E30" w14:paraId="6D8ACF64" w14:textId="77777777" w:rsidTr="002D603F">
              <w:trPr>
                <w:trHeight w:val="85"/>
              </w:trPr>
              <w:tc>
                <w:tcPr>
                  <w:tcW w:w="4238" w:type="dxa"/>
                </w:tcPr>
                <w:p w14:paraId="6607E9B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Znečišťující látka </w:t>
                  </w:r>
                </w:p>
              </w:tc>
              <w:tc>
                <w:tcPr>
                  <w:tcW w:w="4564" w:type="dxa"/>
                </w:tcPr>
                <w:p w14:paraId="589F2CE9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>Hodnota emisního faktoru</w:t>
                  </w:r>
                </w:p>
              </w:tc>
            </w:tr>
            <w:tr w:rsidR="002D603F" w:rsidRPr="00EB3E30" w14:paraId="66CD163E" w14:textId="77777777" w:rsidTr="002D603F">
              <w:trPr>
                <w:trHeight w:val="93"/>
              </w:trPr>
              <w:tc>
                <w:tcPr>
                  <w:tcW w:w="4238" w:type="dxa"/>
                </w:tcPr>
                <w:p w14:paraId="01432CFD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>NO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>x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 (g/kWh) </w:t>
                  </w:r>
                </w:p>
              </w:tc>
              <w:tc>
                <w:tcPr>
                  <w:tcW w:w="4564" w:type="dxa"/>
                </w:tcPr>
                <w:p w14:paraId="09218A8E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1,18 </w:t>
                  </w:r>
                </w:p>
              </w:tc>
            </w:tr>
            <w:tr w:rsidR="002D603F" w:rsidRPr="00EB3E30" w14:paraId="3E2CB89D" w14:textId="77777777" w:rsidTr="002D603F">
              <w:trPr>
                <w:trHeight w:val="87"/>
              </w:trPr>
              <w:tc>
                <w:tcPr>
                  <w:tcW w:w="4238" w:type="dxa"/>
                </w:tcPr>
                <w:p w14:paraId="64DB37C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>PM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 (g/kWh) </w:t>
                  </w:r>
                </w:p>
              </w:tc>
              <w:tc>
                <w:tcPr>
                  <w:tcW w:w="4564" w:type="dxa"/>
                </w:tcPr>
                <w:p w14:paraId="48F6C692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0,01 </w:t>
                  </w:r>
                </w:p>
              </w:tc>
            </w:tr>
            <w:tr w:rsidR="002D603F" w:rsidRPr="00EB3E30" w14:paraId="63091A93" w14:textId="77777777" w:rsidTr="002D603F">
              <w:trPr>
                <w:trHeight w:val="112"/>
              </w:trPr>
              <w:tc>
                <w:tcPr>
                  <w:tcW w:w="4238" w:type="dxa"/>
                </w:tcPr>
                <w:p w14:paraId="54B33640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>SO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(g/m3 zemního plynu) </w:t>
                  </w:r>
                </w:p>
              </w:tc>
              <w:tc>
                <w:tcPr>
                  <w:tcW w:w="4564" w:type="dxa"/>
                </w:tcPr>
                <w:p w14:paraId="7A351F92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0,0004 </w:t>
                  </w:r>
                </w:p>
              </w:tc>
            </w:tr>
          </w:tbl>
          <w:p w14:paraId="63DDCA95" w14:textId="433628AD" w:rsidR="002D603F" w:rsidRPr="004E7673" w:rsidRDefault="00B77437" w:rsidP="007C6078">
            <w:p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   </w:t>
            </w:r>
            <w:r w:rsidR="002D603F"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Tab. 4. Hodnoty vstupních parametrů pro výpočet měrných emisí – CNG autobusy a LNG autobusy</w:t>
            </w:r>
          </w:p>
          <w:tbl>
            <w:tblPr>
              <w:tblStyle w:val="Mkatabulky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801"/>
              <w:gridCol w:w="1955"/>
              <w:gridCol w:w="3015"/>
            </w:tblGrid>
            <w:tr w:rsidR="002D603F" w:rsidRPr="004E7673" w14:paraId="09645476" w14:textId="77777777" w:rsidTr="002D603F">
              <w:trPr>
                <w:trHeight w:val="102"/>
              </w:trPr>
              <w:tc>
                <w:tcPr>
                  <w:tcW w:w="3801" w:type="dxa"/>
                </w:tcPr>
                <w:p w14:paraId="4EB1B0DC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1955" w:type="dxa"/>
                </w:tcPr>
                <w:p w14:paraId="11DAD5FF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color w:val="000000"/>
                      <w:sz w:val="20"/>
                      <w:szCs w:val="20"/>
                    </w:rPr>
                    <w:t>Značka</w:t>
                  </w:r>
                </w:p>
              </w:tc>
              <w:tc>
                <w:tcPr>
                  <w:tcW w:w="3015" w:type="dxa"/>
                </w:tcPr>
                <w:p w14:paraId="13504499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4E7673" w14:paraId="05D00DFF" w14:textId="77777777" w:rsidTr="002D603F">
              <w:trPr>
                <w:trHeight w:val="413"/>
              </w:trPr>
              <w:tc>
                <w:tcPr>
                  <w:tcW w:w="3801" w:type="dxa"/>
                  <w:vAlign w:val="center"/>
                </w:tcPr>
                <w:p w14:paraId="6908F327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průměrná spotřeba energie</w:t>
                  </w:r>
                </w:p>
              </w:tc>
              <w:tc>
                <w:tcPr>
                  <w:tcW w:w="1955" w:type="dxa"/>
                  <w:vAlign w:val="center"/>
                </w:tcPr>
                <w:p w14:paraId="17651987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RLE</w:t>
                  </w:r>
                </w:p>
              </w:tc>
              <w:tc>
                <w:tcPr>
                  <w:tcW w:w="3015" w:type="dxa"/>
                  <w:vAlign w:val="center"/>
                </w:tcPr>
                <w:p w14:paraId="1C911B46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1,28 kWh/km</w:t>
                  </w:r>
                </w:p>
              </w:tc>
            </w:tr>
            <w:tr w:rsidR="002D603F" w:rsidRPr="004E7673" w14:paraId="01A36133" w14:textId="77777777" w:rsidTr="002D603F">
              <w:trPr>
                <w:trHeight w:val="434"/>
              </w:trPr>
              <w:tc>
                <w:tcPr>
                  <w:tcW w:w="3801" w:type="dxa"/>
                  <w:vAlign w:val="center"/>
                </w:tcPr>
                <w:p w14:paraId="19B5A0A4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měrná spotřeba zemního plynu CNG nebo LNG v metrech krychlových (1kg LNG = 2,38 m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  <w:r w:rsidRPr="00564C96">
                    <w:rPr>
                      <w:rFonts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55" w:type="dxa"/>
                  <w:vAlign w:val="center"/>
                </w:tcPr>
                <w:p w14:paraId="67E08579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015" w:type="dxa"/>
                  <w:vAlign w:val="center"/>
                </w:tcPr>
                <w:p w14:paraId="2B6D6141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CNG </w:t>
                  </w:r>
                  <w:r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– 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56,5 m</w:t>
                  </w:r>
                  <w:r w:rsidRPr="00363D01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/ 100 km (doplní žadatel dle reálné spotřeby modelu)</w:t>
                  </w:r>
                </w:p>
                <w:p w14:paraId="1E38BC7A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LNG –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18,8 m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(7,6 kg x 2,38 kg/m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/ 100 km (doplní žadatel dle reálné spotřeby modelu)</w:t>
                  </w:r>
                </w:p>
              </w:tc>
            </w:tr>
          </w:tbl>
          <w:p w14:paraId="73D4A2F0" w14:textId="77777777" w:rsidR="002D603F" w:rsidRDefault="002D603F" w:rsidP="002D603F">
            <w:pPr>
              <w:pStyle w:val="Nadpis2"/>
              <w:spacing w:before="120" w:after="120"/>
              <w:ind w:right="170"/>
              <w:jc w:val="left"/>
              <w:rPr>
                <w:caps w:val="0"/>
              </w:rPr>
            </w:pPr>
          </w:p>
          <w:p w14:paraId="3F7BC0FB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rPr>
                <w:caps w:val="0"/>
              </w:rPr>
              <w:t>V</w:t>
            </w:r>
            <w:r w:rsidRPr="005D4756">
              <w:rPr>
                <w:caps w:val="0"/>
              </w:rPr>
              <w:t xml:space="preserve">ýpočet měrných emisí </w:t>
            </w:r>
            <w:r>
              <w:rPr>
                <w:caps w:val="0"/>
              </w:rPr>
              <w:t>NO</w:t>
            </w:r>
            <w:r w:rsidRPr="005D4756">
              <w:rPr>
                <w:caps w:val="0"/>
                <w:sz w:val="16"/>
                <w:szCs w:val="16"/>
              </w:rPr>
              <w:t xml:space="preserve">x </w:t>
            </w:r>
            <w:r w:rsidRPr="005D4756">
              <w:rPr>
                <w:caps w:val="0"/>
              </w:rPr>
              <w:t xml:space="preserve">a </w:t>
            </w:r>
            <w:r>
              <w:rPr>
                <w:caps w:val="0"/>
              </w:rPr>
              <w:t>PM</w:t>
            </w:r>
            <w:r w:rsidRPr="00A37A03">
              <w:rPr>
                <w:caps w:val="0"/>
                <w:vertAlign w:val="subscript"/>
              </w:rPr>
              <w:t>10</w:t>
            </w:r>
            <w:r w:rsidRPr="005D4756">
              <w:rPr>
                <w:caps w:val="0"/>
              </w:rPr>
              <w:t xml:space="preserve"> pro autobus na </w:t>
            </w:r>
            <w:r>
              <w:rPr>
                <w:caps w:val="0"/>
              </w:rPr>
              <w:t xml:space="preserve">CNG nebo LNG </w:t>
            </w:r>
          </w:p>
          <w:p w14:paraId="09A742DD" w14:textId="77777777" w:rsidR="002D603F" w:rsidRPr="005D4756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0BCDE6A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NO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NOx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</w:p>
          <w:p w14:paraId="18AD895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PM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10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PM10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</w:p>
          <w:p w14:paraId="54797ED4" w14:textId="77777777" w:rsidR="002D603F" w:rsidRPr="005D4756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3"/>
                <w:szCs w:val="23"/>
                <w:vertAlign w:val="subscript"/>
              </w:rPr>
            </w:pPr>
          </w:p>
          <w:p w14:paraId="540370C4" w14:textId="77777777" w:rsidR="002D603F" w:rsidRPr="005D4756" w:rsidRDefault="002D603F" w:rsidP="002D603F">
            <w:pPr>
              <w:pStyle w:val="Nadpis2"/>
              <w:spacing w:before="120" w:after="120"/>
              <w:ind w:left="170" w:right="170"/>
            </w:pPr>
            <w:r>
              <w:rPr>
                <w:caps w:val="0"/>
              </w:rPr>
              <w:t>V</w:t>
            </w:r>
            <w:r w:rsidRPr="005D4756">
              <w:rPr>
                <w:caps w:val="0"/>
              </w:rPr>
              <w:t xml:space="preserve">ýpočet měrných emisí </w:t>
            </w:r>
            <w:r>
              <w:rPr>
                <w:caps w:val="0"/>
              </w:rPr>
              <w:t>SO</w:t>
            </w:r>
            <w:r w:rsidRPr="005D4756">
              <w:rPr>
                <w:caps w:val="0"/>
                <w:sz w:val="16"/>
                <w:szCs w:val="16"/>
              </w:rPr>
              <w:t xml:space="preserve">2 </w:t>
            </w:r>
            <w:r w:rsidRPr="005D4756">
              <w:rPr>
                <w:caps w:val="0"/>
              </w:rPr>
              <w:t xml:space="preserve">pro autobus na </w:t>
            </w:r>
            <w:r>
              <w:rPr>
                <w:caps w:val="0"/>
              </w:rPr>
              <w:t>CNG</w:t>
            </w:r>
            <w:r w:rsidRPr="005D4756">
              <w:rPr>
                <w:caps w:val="0"/>
              </w:rPr>
              <w:t xml:space="preserve"> </w:t>
            </w:r>
            <w:r>
              <w:rPr>
                <w:caps w:val="0"/>
              </w:rPr>
              <w:t>nebo LNG</w:t>
            </w:r>
          </w:p>
          <w:p w14:paraId="230A02AB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  <w:p w14:paraId="5215307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= 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x (S/100)</w:t>
            </w:r>
          </w:p>
          <w:p w14:paraId="11F01C1F" w14:textId="77777777" w:rsidR="002D603F" w:rsidRPr="004E7673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  <w:u w:val="single"/>
              </w:rPr>
            </w:pPr>
            <w:r w:rsidRPr="004E7673">
              <w:rPr>
                <w:sz w:val="20"/>
                <w:szCs w:val="20"/>
              </w:rPr>
              <w:t>Výsledné hodnoty jsou dosazeny do vzorce:</w:t>
            </w:r>
          </w:p>
          <w:p w14:paraId="43738629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b/>
                <w:bCs/>
                <w:i/>
                <w:sz w:val="20"/>
                <w:szCs w:val="20"/>
              </w:rPr>
              <w:t>EPS = (1 × (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PM10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  <w:r w:rsidRPr="004E7673">
              <w:rPr>
                <w:b/>
                <w:bCs/>
                <w:i/>
                <w:sz w:val="20"/>
                <w:szCs w:val="20"/>
              </w:rPr>
              <w:t>)) + (0,88 × (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NOx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  <w:r w:rsidRPr="004E7673">
              <w:rPr>
                <w:b/>
                <w:bCs/>
                <w:i/>
                <w:sz w:val="20"/>
                <w:szCs w:val="20"/>
              </w:rPr>
              <w:t>)) + (0,54 × (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x (S/100))</w:t>
            </w:r>
          </w:p>
          <w:p w14:paraId="41EEB5E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  <w:p w14:paraId="7DC42A3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Cs/>
                <w:sz w:val="20"/>
                <w:szCs w:val="20"/>
                <w:u w:val="single"/>
              </w:rPr>
            </w:pPr>
            <w:r w:rsidRPr="004E7673">
              <w:rPr>
                <w:bCs/>
                <w:sz w:val="20"/>
                <w:szCs w:val="20"/>
                <w:u w:val="single"/>
              </w:rPr>
              <w:t>Výsledkem výpočtu je objem emisí 1 vozidla na 1 kilometr v gramech.</w:t>
            </w:r>
          </w:p>
          <w:p w14:paraId="69936F24" w14:textId="77777777" w:rsidR="002D603F" w:rsidRPr="00727348" w:rsidRDefault="002D603F" w:rsidP="002D603F">
            <w:pPr>
              <w:pStyle w:val="Nadpis2"/>
              <w:spacing w:before="120" w:after="120"/>
              <w:ind w:left="170" w:right="170"/>
              <w:rPr>
                <w:caps w:val="0"/>
              </w:rPr>
            </w:pPr>
            <w:r>
              <w:rPr>
                <w:caps w:val="0"/>
              </w:rPr>
              <w:t>Emise za 1 vozidlo v tunách za 1 rok</w:t>
            </w:r>
          </w:p>
          <w:p w14:paraId="581BB415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  <w:sz w:val="20"/>
                <w:szCs w:val="20"/>
              </w:rPr>
            </w:pPr>
            <w:r w:rsidRPr="004E7673">
              <w:rPr>
                <w:bCs/>
                <w:sz w:val="20"/>
                <w:szCs w:val="20"/>
              </w:rPr>
              <w:t>Pro výpočet roční emise v tunách za vozidlo se měrné množství EPS vynásobí počtem kilometrů, které vozidlo ujede za 1 rok, a abychom dostali výsledek v tunách, vydělí se rovnice 1 000 000.</w:t>
            </w:r>
          </w:p>
          <w:p w14:paraId="39D87B12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bCs/>
                <w:sz w:val="20"/>
                <w:szCs w:val="20"/>
              </w:rPr>
            </w:pPr>
          </w:p>
          <w:p w14:paraId="40F63B87" w14:textId="77777777" w:rsidR="002D603F" w:rsidRPr="004E7673" w:rsidRDefault="002D603F" w:rsidP="002D603F">
            <w:pPr>
              <w:spacing w:before="120" w:after="120"/>
              <w:ind w:left="170" w:right="170"/>
              <w:jc w:val="center"/>
              <w:rPr>
                <w:b/>
                <w:sz w:val="20"/>
                <w:szCs w:val="20"/>
              </w:rPr>
            </w:pPr>
            <w:r w:rsidRPr="004E7673">
              <w:rPr>
                <w:b/>
                <w:sz w:val="20"/>
                <w:szCs w:val="20"/>
              </w:rPr>
              <w:t xml:space="preserve">Emise za 1 vozidlo v tunách za 1 rok=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EPS*km za rok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1 000 000</m:t>
                  </m:r>
                </m:den>
              </m:f>
            </m:oMath>
          </w:p>
          <w:p w14:paraId="415689A7" w14:textId="77777777" w:rsidR="002D603F" w:rsidRDefault="002D603F" w:rsidP="002D603F">
            <w:pPr>
              <w:spacing w:before="120" w:after="120"/>
              <w:ind w:left="170" w:right="170"/>
            </w:pPr>
          </w:p>
          <w:p w14:paraId="2FEB9CD1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C</w:t>
            </w:r>
            <w:r>
              <w:rPr>
                <w:caps w:val="0"/>
              </w:rPr>
              <w:t>ílová hodnota (součet za všechna nahrazovaná vozidla)</w:t>
            </w:r>
          </w:p>
          <w:p w14:paraId="7CEBCCE6" w14:textId="77777777" w:rsidR="002D603F" w:rsidRPr="004E7673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Posledním krokem výpočtu je sečtení výsledných hodnot za jednotlivé autobusy a to následovně:</w:t>
            </w:r>
          </w:p>
          <w:p w14:paraId="7D207EA0" w14:textId="77777777" w:rsidR="002D603F" w:rsidRPr="004E7673" w:rsidRDefault="002D603F" w:rsidP="002D603F">
            <w:pPr>
              <w:pStyle w:val="Odstavecseseznamem"/>
              <w:numPr>
                <w:ilvl w:val="0"/>
                <w:numId w:val="6"/>
              </w:numPr>
              <w:spacing w:before="120" w:after="120" w:line="252" w:lineRule="auto"/>
              <w:ind w:left="512" w:right="170" w:hanging="283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pokud jsou všechna nahrazovaná vozidla shodná, žadatel výslednou hodnotu vynásobí jejich počtem,</w:t>
            </w:r>
          </w:p>
          <w:p w14:paraId="62A6AFB1" w14:textId="77777777" w:rsidR="002D603F" w:rsidRPr="00912B9A" w:rsidRDefault="002D603F" w:rsidP="002D603F">
            <w:pPr>
              <w:pStyle w:val="Odstavecseseznamem"/>
              <w:numPr>
                <w:ilvl w:val="0"/>
                <w:numId w:val="6"/>
              </w:numPr>
              <w:spacing w:before="120" w:after="120" w:line="252" w:lineRule="auto"/>
              <w:ind w:left="512" w:right="170" w:hanging="283"/>
            </w:pPr>
            <w:r w:rsidRPr="004E7673">
              <w:rPr>
                <w:sz w:val="20"/>
                <w:szCs w:val="20"/>
              </w:rPr>
              <w:t>pokud se mezi sebou nahrazovaná vozidla liší, provede příjemce pro každou skupinu shodných vozidel výpočet zvlášť a výsledky sečte.</w:t>
            </w:r>
          </w:p>
        </w:tc>
      </w:tr>
    </w:tbl>
    <w:p w14:paraId="3D74AC8F" w14:textId="2ECB7DDF" w:rsidR="00171E4E" w:rsidRDefault="00171E4E">
      <w:pPr>
        <w:jc w:val="both"/>
        <w:rPr>
          <w:b/>
          <w:sz w:val="28"/>
          <w:szCs w:val="28"/>
        </w:rPr>
      </w:pPr>
    </w:p>
    <w:p w14:paraId="685E9EF8" w14:textId="6EC4B19E" w:rsidR="002D603F" w:rsidRPr="001F0480" w:rsidRDefault="00F576D3" w:rsidP="00A61432">
      <w:pPr>
        <w:rPr>
          <w:b/>
          <w:sz w:val="24"/>
          <w:szCs w:val="24"/>
        </w:rPr>
      </w:pPr>
      <w:r w:rsidRPr="001F0480">
        <w:rPr>
          <w:b/>
          <w:sz w:val="24"/>
          <w:szCs w:val="24"/>
        </w:rPr>
        <w:t xml:space="preserve">Pro aktivitu </w:t>
      </w:r>
      <w:r w:rsidR="00EA048A" w:rsidRPr="001F0480">
        <w:rPr>
          <w:b/>
          <w:sz w:val="24"/>
          <w:szCs w:val="24"/>
        </w:rPr>
        <w:t>„B</w:t>
      </w:r>
      <w:r w:rsidRPr="001F0480">
        <w:rPr>
          <w:b/>
          <w:sz w:val="24"/>
          <w:szCs w:val="24"/>
        </w:rPr>
        <w:t>ezpečnost dopravy</w:t>
      </w:r>
      <w:r w:rsidR="00EA048A" w:rsidRPr="001F0480">
        <w:rPr>
          <w:b/>
          <w:sz w:val="24"/>
          <w:szCs w:val="24"/>
        </w:rPr>
        <w:t>“</w:t>
      </w:r>
      <w:r w:rsidRPr="001F0480">
        <w:rPr>
          <w:b/>
          <w:sz w:val="24"/>
          <w:szCs w:val="24"/>
        </w:rPr>
        <w:t xml:space="preserve"> </w:t>
      </w:r>
      <w:r w:rsidR="00EA048A" w:rsidRPr="001F0480">
        <w:rPr>
          <w:b/>
          <w:sz w:val="24"/>
          <w:szCs w:val="24"/>
        </w:rPr>
        <w:t>je</w:t>
      </w:r>
      <w:r w:rsidRPr="001F0480">
        <w:rPr>
          <w:b/>
          <w:sz w:val="24"/>
          <w:szCs w:val="24"/>
        </w:rPr>
        <w:t xml:space="preserve"> relevantní následující indikátor: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1A2AAB90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11057A1F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326BB111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0484E8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5EE4FF0E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874AB85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realizací vedo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u</w:t>
            </w: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cích ke zvýšení bezpečnosti v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 </w:t>
            </w: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dopravě</w:t>
            </w:r>
          </w:p>
        </w:tc>
      </w:tr>
      <w:tr w:rsidR="00A43B61" w:rsidRPr="00F57E12" w14:paraId="30E7F651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219B1F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ECC866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74CF011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DA27D24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DA79410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5AC8780F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65C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C7C4E">
              <w:rPr>
                <w:b/>
                <w:bCs/>
                <w:color w:val="000000"/>
              </w:rPr>
              <w:t>7 50 01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1575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01C6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 w:rsidRPr="005C7C4E">
              <w:rPr>
                <w:b/>
                <w:bCs/>
                <w:color w:val="000000"/>
              </w:rPr>
              <w:t>Realizace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BB5B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D7544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00813071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7B2C6C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71B86C3D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72C1898" w14:textId="77777777" w:rsidR="00A43B61" w:rsidRPr="00F57E12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5C7C4E">
              <w:rPr>
                <w:sz w:val="20"/>
                <w:szCs w:val="20"/>
              </w:rPr>
              <w:t xml:space="preserve">Počet realizací investičního charakteru </w:t>
            </w:r>
            <w:r>
              <w:rPr>
                <w:sz w:val="20"/>
                <w:szCs w:val="20"/>
              </w:rPr>
              <w:t xml:space="preserve">v rámci projektů s tím, že </w:t>
            </w:r>
            <w:r w:rsidRPr="005C7C4E">
              <w:rPr>
                <w:sz w:val="20"/>
                <w:szCs w:val="20"/>
              </w:rPr>
              <w:t>jejich realizace povede ke zvýšení parametrů bezpečnosti např. veřejné, cyklistické a pěší dopravy a/nebo ke zlepšení informovanosti účastníků dopravy se sníženou schopností pohybu nebo orientace apod.</w:t>
            </w:r>
          </w:p>
        </w:tc>
      </w:tr>
      <w:tr w:rsidR="00A43B61" w:rsidRPr="00F57E12" w14:paraId="40ACE1BA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1D50A1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EAAFCB1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39466C1F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64B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910A56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0FCEAE57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DAEA3C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197BC40D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703024C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14:paraId="3AF6FC2C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1CE12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40A9C044" w14:textId="77777777" w:rsidTr="00A60BA1">
        <w:trPr>
          <w:trHeight w:val="325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3034FDC0" w14:textId="77777777" w:rsidR="00A43B61" w:rsidRPr="00FC3B36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1E4F5A">
              <w:rPr>
                <w:b/>
                <w:sz w:val="20"/>
                <w:szCs w:val="20"/>
                <w:u w:val="single"/>
              </w:rPr>
              <w:t>Indikátor je povinný k výběru a k</w:t>
            </w:r>
            <w:r w:rsidRPr="00FC3B36">
              <w:rPr>
                <w:b/>
                <w:sz w:val="20"/>
                <w:szCs w:val="20"/>
                <w:u w:val="single"/>
              </w:rPr>
              <w:t>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14:paraId="7BF77973" w14:textId="77777777" w:rsidR="00A43B61" w:rsidRPr="002A4245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>rekonstrukce, modernizace a výstavba chodníků podél silnic I., II. a III. třídy a místních komunikací</w:t>
            </w:r>
            <w:r w:rsidR="00B77437">
              <w:rPr>
                <w:sz w:val="20"/>
                <w:szCs w:val="20"/>
              </w:rPr>
              <w:t xml:space="preserve"> nebo chodníků a stezek odklánějících pěší dopravu od silnic I., II. a III. třídy a místních komunikací</w:t>
            </w:r>
            <w:r w:rsidRPr="002A4245">
              <w:rPr>
                <w:sz w:val="20"/>
                <w:szCs w:val="20"/>
              </w:rPr>
              <w:t>, přizpůsobených osobám s omezenou schopností pohybu a orientace</w:t>
            </w:r>
            <w:r>
              <w:rPr>
                <w:sz w:val="20"/>
                <w:szCs w:val="20"/>
              </w:rPr>
              <w:t xml:space="preserve"> nebo</w:t>
            </w:r>
          </w:p>
          <w:p w14:paraId="5FFB34A6" w14:textId="77777777" w:rsidR="00A43B61" w:rsidRPr="002A4245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>rekonstrukce, modernizace a výstavba bezbariérových komunikací pro pěší k zastávkám veřejné hromadné dopravy</w:t>
            </w:r>
            <w:r>
              <w:rPr>
                <w:sz w:val="20"/>
                <w:szCs w:val="20"/>
              </w:rPr>
              <w:t xml:space="preserve"> nebo</w:t>
            </w:r>
          </w:p>
          <w:p w14:paraId="431FB885" w14:textId="77777777" w:rsidR="00AA0F52" w:rsidRPr="007C6078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 xml:space="preserve">rekonstrukce, modernizace a výstavba podchodů nebo lávek pro chodce přes silnice I., II. a III. třídy, místní komunikace, železniční a tramvajovou dráhu, přizpůsobených osobám s omezenou schopností </w:t>
            </w:r>
            <w:r w:rsidRPr="007C6078">
              <w:rPr>
                <w:sz w:val="20"/>
                <w:szCs w:val="20"/>
              </w:rPr>
              <w:t>pohybu a orientace a navazujících na bezbariérové komunikace pro pěší</w:t>
            </w:r>
            <w:r w:rsidR="00AA0F52" w:rsidRPr="007C6078">
              <w:rPr>
                <w:sz w:val="20"/>
                <w:szCs w:val="20"/>
              </w:rPr>
              <w:t xml:space="preserve"> nebo</w:t>
            </w:r>
          </w:p>
          <w:p w14:paraId="32F69597" w14:textId="1D601314" w:rsidR="00AA0F52" w:rsidRPr="007C6078" w:rsidRDefault="00AA0F52" w:rsidP="00AA0F52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7C6078">
              <w:rPr>
                <w:sz w:val="20"/>
                <w:szCs w:val="20"/>
              </w:rPr>
              <w:t>realizace prvků zvyšujících bezpečnost železniční, silniční, cyklistické a pěší dopravy (bezpečnostní opatření realizovaná na silnici, místní komunikaci nebo dráze, veřejné osvětlení, prvky inteligentních dopravních systémů)</w:t>
            </w:r>
            <w:r w:rsidR="007C6078">
              <w:rPr>
                <w:sz w:val="20"/>
                <w:szCs w:val="20"/>
              </w:rPr>
              <w:t>.</w:t>
            </w:r>
          </w:p>
          <w:p w14:paraId="38D5A270" w14:textId="77777777" w:rsidR="00A43B61" w:rsidRDefault="00A43B61" w:rsidP="000E5B07">
            <w:pPr>
              <w:pStyle w:val="Odstavecseseznamem"/>
              <w:spacing w:before="120" w:after="120"/>
              <w:ind w:right="170"/>
              <w:jc w:val="both"/>
              <w:rPr>
                <w:sz w:val="20"/>
                <w:szCs w:val="20"/>
              </w:rPr>
            </w:pPr>
          </w:p>
          <w:p w14:paraId="76C581B2" w14:textId="77777777" w:rsidR="00A43B61" w:rsidRPr="0099087B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 w:rsidRPr="002A424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 každý projekt bude rovna 1, bez ohledu na počet aktivit nebo jejich kombinací. Ž</w:t>
            </w:r>
            <w:r w:rsidRPr="009D35EF">
              <w:rPr>
                <w:sz w:val="20"/>
                <w:szCs w:val="20"/>
              </w:rPr>
              <w:t xml:space="preserve">adatel </w:t>
            </w:r>
            <w:r w:rsidRPr="009D35EF">
              <w:rPr>
                <w:sz w:val="20"/>
                <w:szCs w:val="20"/>
              </w:rPr>
              <w:lastRenderedPageBreak/>
              <w:t xml:space="preserve">se zavazuje cílovou hodnotu naplnit </w:t>
            </w:r>
            <w:r>
              <w:rPr>
                <w:sz w:val="20"/>
                <w:szCs w:val="20"/>
              </w:rPr>
              <w:t>nejpozději k datu ukončení realizace projektu.</w:t>
            </w:r>
          </w:p>
          <w:p w14:paraId="120D6FCB" w14:textId="77777777" w:rsidR="00A43B61" w:rsidRPr="00E00CE1" w:rsidRDefault="00A43B61" w:rsidP="00A60BA1">
            <w:pPr>
              <w:ind w:lef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2A424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vždy 1.</w:t>
            </w:r>
          </w:p>
          <w:p w14:paraId="28868867" w14:textId="77777777" w:rsidR="00A43B61" w:rsidRPr="00764007" w:rsidRDefault="00A43B61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D82F42">
              <w:rPr>
                <w:b/>
                <w:sz w:val="20"/>
                <w:szCs w:val="20"/>
              </w:rPr>
              <w:t>Tolerance</w:t>
            </w:r>
            <w:r>
              <w:rPr>
                <w:b/>
                <w:sz w:val="20"/>
                <w:szCs w:val="20"/>
              </w:rPr>
              <w:t xml:space="preserve">: žádná, </w:t>
            </w:r>
            <w:r w:rsidRPr="002A4245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Nedosažení cílové hodnoty bude sankcionováno.</w:t>
            </w:r>
          </w:p>
          <w:p w14:paraId="4C2BA019" w14:textId="74B65981" w:rsidR="00A43B61" w:rsidRPr="00F57E12" w:rsidRDefault="00A43B6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y</w:t>
            </w:r>
            <w:r w:rsidRPr="00BB1C6F">
              <w:rPr>
                <w:sz w:val="20"/>
                <w:szCs w:val="20"/>
              </w:rPr>
              <w:t xml:space="preserve"> v</w:t>
            </w:r>
            <w:r w:rsidR="004338A3">
              <w:rPr>
                <w:sz w:val="20"/>
                <w:szCs w:val="20"/>
              </w:rPr>
              <w:t> </w:t>
            </w:r>
            <w:r w:rsidRPr="00BB1C6F">
              <w:rPr>
                <w:sz w:val="20"/>
                <w:szCs w:val="20"/>
              </w:rPr>
              <w:t xml:space="preserve">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14:paraId="33A58375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B41BABB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6FFDE320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B0EC14" w14:textId="07BA1C4D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715DAD87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31D71465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23364660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7436A8FD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79FF2E25" w14:textId="77777777" w:rsidR="00A43B61" w:rsidRDefault="00A43B61" w:rsidP="00A43B61"/>
    <w:p w14:paraId="4D9A3475" w14:textId="77777777" w:rsidR="00BE13C7" w:rsidRDefault="00BE13C7">
      <w:pPr>
        <w:rPr>
          <w:b/>
        </w:rPr>
      </w:pPr>
      <w:r>
        <w:rPr>
          <w:b/>
        </w:rPr>
        <w:br w:type="page"/>
      </w:r>
    </w:p>
    <w:p w14:paraId="2FDB3F73" w14:textId="58D077AE" w:rsidR="00EA048A" w:rsidRPr="005228A7" w:rsidRDefault="00EA048A" w:rsidP="00EA048A">
      <w:pPr>
        <w:rPr>
          <w:b/>
          <w:sz w:val="24"/>
          <w:szCs w:val="24"/>
        </w:rPr>
      </w:pPr>
      <w:r w:rsidRPr="005228A7">
        <w:rPr>
          <w:b/>
          <w:sz w:val="24"/>
          <w:szCs w:val="24"/>
        </w:rPr>
        <w:lastRenderedPageBreak/>
        <w:t>Pro aktivitu</w:t>
      </w:r>
      <w:r w:rsidR="00980D9B" w:rsidRPr="005228A7">
        <w:rPr>
          <w:b/>
          <w:sz w:val="24"/>
          <w:szCs w:val="24"/>
        </w:rPr>
        <w:t xml:space="preserve"> „</w:t>
      </w:r>
      <w:r w:rsidRPr="005228A7">
        <w:rPr>
          <w:b/>
          <w:sz w:val="24"/>
          <w:szCs w:val="24"/>
        </w:rPr>
        <w:t>Cyklodoprava“ jsou relevantní následující indikátory: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5E47B206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091DFB8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40D8BE98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F8588A9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71AA387F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614A928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4358C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Délka nově vybudovaných cyklostezek a cyklotras</w:t>
            </w:r>
          </w:p>
        </w:tc>
      </w:tr>
      <w:tr w:rsidR="00A43B61" w:rsidRPr="00F57E12" w14:paraId="74074400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A465F9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8CDFCA5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162292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DD15D29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3EFDD3E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1F3C9FCF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A1D8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7 61 00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C067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D63B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2B7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DADC28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612C03D2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3CB814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14BB2D0F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09B6694" w14:textId="61C8E0D5" w:rsidR="00A43B61" w:rsidRPr="00F57E12" w:rsidRDefault="00A43B6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7668A1">
              <w:rPr>
                <w:sz w:val="20"/>
                <w:szCs w:val="20"/>
              </w:rPr>
              <w:t>Počet kilometrů nově vybudovaných cyklostezek a cyklotras. Cyklostezka je pozemní komunikace nebo její jízdní pás (nikoliv jen jízdní pruh) vyhrazená dopravní značkou pro jízdu na jízdním kole. Je určena pouze pro cyklistickou dopravu, automobilová a motocyklová doprava je z ní vyloučena. Naopak cyklotrasa není z</w:t>
            </w:r>
            <w:r w:rsidR="004338A3">
              <w:rPr>
                <w:sz w:val="20"/>
                <w:szCs w:val="20"/>
              </w:rPr>
              <w:t> </w:t>
            </w:r>
            <w:r w:rsidRPr="007668A1">
              <w:rPr>
                <w:sz w:val="20"/>
                <w:szCs w:val="20"/>
              </w:rPr>
              <w:t>hlediska zákona o pozemních komunikacích druh komunikace, ale jedná se o souvislé označení určité komunikace značením pro cyklisty</w:t>
            </w:r>
            <w:r>
              <w:rPr>
                <w:sz w:val="20"/>
                <w:szCs w:val="20"/>
              </w:rPr>
              <w:t>.</w:t>
            </w:r>
          </w:p>
        </w:tc>
      </w:tr>
      <w:tr w:rsidR="00A43B61" w:rsidRPr="00F57E12" w14:paraId="01C4CF3F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BC6480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5686A5A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7424BC22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617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B6B00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32A39C06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0525C1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673F8F3D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49A55876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14:paraId="6A1D7AC6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C67185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0BC93821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7FBEE7A" w14:textId="77777777" w:rsidR="00A43B61" w:rsidRPr="002A4245" w:rsidRDefault="00A43B61" w:rsidP="00A60BA1">
            <w:pPr>
              <w:spacing w:before="120" w:after="120" w:line="240" w:lineRule="auto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2A4245">
              <w:rPr>
                <w:b/>
                <w:sz w:val="20"/>
                <w:szCs w:val="20"/>
                <w:u w:val="single"/>
              </w:rPr>
              <w:t>Indikátor je povinný k výběru a k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14:paraId="66F86B0D" w14:textId="77777777" w:rsidR="00A43B61" w:rsidRPr="002A4245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výstavba samostatných stezek pro cyklisty nebo stezek pro cyklisty a chodce se společným nebo odděleným provozem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632FBC6B" w14:textId="77777777" w:rsidR="00A43B61" w:rsidRPr="002A4245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výstavba jízdních pruhů pro cyklisty nebo společných pásů pro cyklisty a chodce v přidruženém prostoru silnic a místních komunikací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395C47E3" w14:textId="3BE44AA7" w:rsidR="00A43B61" w:rsidRPr="00482E02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realizace liniových opatření pro cyklisty v hlavním dopravním prostoru silnic a místních komunikací v</w:t>
            </w:r>
            <w:r w:rsidR="004338A3">
              <w:rPr>
                <w:rFonts w:cs="Arial"/>
                <w:sz w:val="20"/>
                <w:szCs w:val="20"/>
              </w:rPr>
              <w:t> </w:t>
            </w:r>
            <w:r w:rsidRPr="002A4245">
              <w:rPr>
                <w:rFonts w:cs="Arial"/>
                <w:sz w:val="20"/>
                <w:szCs w:val="20"/>
              </w:rPr>
              <w:t>podobě vyhrazených jízdních pruhů pro cyklisty, piktogramových koridorů pro cyklisty nebo vyhrazených jízdních pruhů pro autobusy a jízdní kola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43EA256" w14:textId="3195ADA3" w:rsidR="00A43B61" w:rsidRDefault="00A43B61" w:rsidP="00A60BA1">
            <w:pPr>
              <w:spacing w:before="120" w:after="120"/>
              <w:ind w:left="170" w:right="170"/>
              <w:jc w:val="both"/>
              <w:rPr>
                <w:sz w:val="20"/>
              </w:rPr>
            </w:pPr>
            <w:r w:rsidRPr="000842A7">
              <w:rPr>
                <w:color w:val="000000"/>
                <w:sz w:val="20"/>
                <w:u w:val="single"/>
              </w:rPr>
              <w:t>Pravidla použití indikátoru</w:t>
            </w:r>
            <w:r>
              <w:rPr>
                <w:color w:val="000000"/>
                <w:sz w:val="20"/>
                <w:u w:val="single"/>
              </w:rPr>
              <w:t>:</w:t>
            </w:r>
            <w:r w:rsidRPr="00464E3A">
              <w:rPr>
                <w:color w:val="000000"/>
                <w:sz w:val="20"/>
              </w:rPr>
              <w:t xml:space="preserve"> </w:t>
            </w:r>
            <w:r w:rsidRPr="000842A7">
              <w:rPr>
                <w:color w:val="000000"/>
                <w:sz w:val="20"/>
              </w:rPr>
              <w:t xml:space="preserve">Cílová hodnota indikátoru na úrovni projektu vyplývá z projektové dokumentace řešené komunikace a jsou do ní započteny nově budované </w:t>
            </w:r>
            <w:r>
              <w:rPr>
                <w:sz w:val="20"/>
                <w:szCs w:val="20"/>
              </w:rPr>
              <w:t>komunikace</w:t>
            </w:r>
            <w:r w:rsidRPr="00CB46D3">
              <w:rPr>
                <w:sz w:val="20"/>
                <w:szCs w:val="20"/>
              </w:rPr>
              <w:t xml:space="preserve"> pro cyklisty nebo nově realizovan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  <w:szCs w:val="20"/>
              </w:rPr>
              <w:t xml:space="preserve"> silnic a místních komunikací </w:t>
            </w:r>
            <w:r w:rsidRPr="000842A7">
              <w:rPr>
                <w:sz w:val="20"/>
              </w:rPr>
              <w:t xml:space="preserve">na místě, kde </w:t>
            </w:r>
            <w:r>
              <w:rPr>
                <w:sz w:val="20"/>
              </w:rPr>
              <w:t xml:space="preserve">žádná komunikace nebo dopravní značení pro cyklisty nebylo. </w:t>
            </w:r>
            <w:r w:rsidRPr="000842A7">
              <w:rPr>
                <w:sz w:val="20"/>
              </w:rPr>
              <w:t xml:space="preserve">Pokud projekt zahrnuje výstavbu nové </w:t>
            </w:r>
            <w:r>
              <w:rPr>
                <w:sz w:val="20"/>
              </w:rPr>
              <w:t>komunikace pro cyklisty nebo realizaci nového liniového opatření pro cyklisty v hlavním dopravním prostoru</w:t>
            </w:r>
            <w:r w:rsidRPr="000842A7">
              <w:rPr>
                <w:sz w:val="20"/>
              </w:rPr>
              <w:t xml:space="preserve"> a </w:t>
            </w:r>
            <w:r>
              <w:rPr>
                <w:sz w:val="20"/>
              </w:rPr>
              <w:t xml:space="preserve">zároveň </w:t>
            </w:r>
            <w:r w:rsidRPr="000842A7">
              <w:rPr>
                <w:sz w:val="20"/>
              </w:rPr>
              <w:t xml:space="preserve">rekonstrukci nebo modernizaci stávající </w:t>
            </w:r>
            <w:r>
              <w:rPr>
                <w:sz w:val="20"/>
              </w:rPr>
              <w:t>komunikace pro cyklisty nebo úpravu stávajícího liniového opatření pro cyklisty v hlavním dopravním prostoru</w:t>
            </w:r>
            <w:r w:rsidRPr="000842A7">
              <w:rPr>
                <w:sz w:val="20"/>
              </w:rPr>
              <w:t xml:space="preserve">, pro nový úsek se použije indikátor </w:t>
            </w:r>
            <w:r w:rsidRPr="000842A7">
              <w:rPr>
                <w:sz w:val="20"/>
              </w:rPr>
              <w:lastRenderedPageBreak/>
              <w:t xml:space="preserve">„Délka </w:t>
            </w:r>
            <w:r>
              <w:rPr>
                <w:sz w:val="20"/>
              </w:rPr>
              <w:t>nově vybudovaných cyklostezek a cyklotras</w:t>
            </w:r>
            <w:r w:rsidRPr="000842A7">
              <w:rPr>
                <w:sz w:val="20"/>
              </w:rPr>
              <w:t>“ a pro rekonstruovaný</w:t>
            </w:r>
            <w:r>
              <w:rPr>
                <w:sz w:val="20"/>
              </w:rPr>
              <w:t>,</w:t>
            </w:r>
            <w:r w:rsidRPr="000842A7">
              <w:rPr>
                <w:sz w:val="20"/>
              </w:rPr>
              <w:t xml:space="preserve"> modernizovaný </w:t>
            </w:r>
            <w:r>
              <w:rPr>
                <w:sz w:val="20"/>
              </w:rPr>
              <w:t xml:space="preserve">nebo upravovaný </w:t>
            </w:r>
            <w:r w:rsidRPr="000842A7">
              <w:rPr>
                <w:sz w:val="20"/>
              </w:rPr>
              <w:t xml:space="preserve">úsek indikátor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 xml:space="preserve">“. Napřímení směrového oblouku </w:t>
            </w:r>
            <w:r>
              <w:rPr>
                <w:sz w:val="20"/>
              </w:rPr>
              <w:t xml:space="preserve">a obdobné směrové úpravy </w:t>
            </w:r>
            <w:r w:rsidRPr="000842A7">
              <w:rPr>
                <w:sz w:val="20"/>
              </w:rPr>
              <w:t xml:space="preserve">stávající </w:t>
            </w:r>
            <w:r>
              <w:rPr>
                <w:sz w:val="20"/>
              </w:rPr>
              <w:t>komunikace pro cyklisty</w:t>
            </w:r>
            <w:r w:rsidRPr="000842A7">
              <w:rPr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 w:rsidRPr="000842A7">
              <w:rPr>
                <w:sz w:val="20"/>
              </w:rPr>
              <w:t xml:space="preserve"> započít</w:t>
            </w:r>
            <w:r>
              <w:rPr>
                <w:sz w:val="20"/>
              </w:rPr>
              <w:t>ají</w:t>
            </w:r>
            <w:r w:rsidRPr="000842A7">
              <w:rPr>
                <w:sz w:val="20"/>
              </w:rPr>
              <w:t xml:space="preserve"> do indikátoru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>“</w:t>
            </w:r>
            <w:r>
              <w:rPr>
                <w:sz w:val="20"/>
              </w:rPr>
              <w:t>.</w:t>
            </w:r>
          </w:p>
          <w:p w14:paraId="4399249B" w14:textId="77777777" w:rsidR="00E47D94" w:rsidRPr="00E00CE1" w:rsidRDefault="00E47D94" w:rsidP="00E47D94">
            <w:pPr>
              <w:ind w:left="170"/>
              <w:jc w:val="both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hodnoty indikátoru se nezapočítává</w:t>
            </w:r>
            <w:r>
              <w:rPr>
                <w:sz w:val="20"/>
              </w:rPr>
              <w:t xml:space="preserve"> délka úseku nově v</w:t>
            </w:r>
            <w:r>
              <w:rPr>
                <w:sz w:val="20"/>
                <w:szCs w:val="20"/>
              </w:rPr>
              <w:t>ybudované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</w:t>
            </w:r>
            <w:r>
              <w:rPr>
                <w:sz w:val="20"/>
                <w:szCs w:val="20"/>
              </w:rPr>
              <w:t>e</w:t>
            </w:r>
            <w:r w:rsidRPr="00CB46D3">
              <w:rPr>
                <w:sz w:val="20"/>
                <w:szCs w:val="20"/>
              </w:rPr>
              <w:t xml:space="preserve"> pro cyklisty nebo nově realizovan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</w:rPr>
              <w:t xml:space="preserve"> financovaných z nezpůsobilých výdajů projektu.</w:t>
            </w:r>
          </w:p>
          <w:p w14:paraId="55A39949" w14:textId="77777777" w:rsidR="00A43B61" w:rsidRPr="0099087B" w:rsidRDefault="00A43B61" w:rsidP="007C6078">
            <w:pPr>
              <w:spacing w:before="120"/>
              <w:ind w:lef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plánovaná délka nově vybudovaných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prostoru</w:t>
            </w:r>
            <w:r>
              <w:rPr>
                <w:sz w:val="20"/>
                <w:szCs w:val="20"/>
              </w:rPr>
              <w:t>, uvedená v km. Žadatel se zavazuje stanovenou hodnotu naplnit k datu ukončení realizace projektu.</w:t>
            </w:r>
          </w:p>
          <w:p w14:paraId="003C5745" w14:textId="77777777" w:rsidR="00A43B61" w:rsidRDefault="00A43B61" w:rsidP="007C6078">
            <w:pPr>
              <w:ind w:left="17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2A42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skutečná délka nově vybudovaných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</w:t>
            </w:r>
            <w:r>
              <w:rPr>
                <w:sz w:val="20"/>
                <w:szCs w:val="20"/>
              </w:rPr>
              <w:t>u, uvedená v km.</w:t>
            </w:r>
          </w:p>
          <w:p w14:paraId="0391ABEC" w14:textId="77777777" w:rsidR="00A43B61" w:rsidRDefault="00A43B61" w:rsidP="00A60BA1">
            <w:pPr>
              <w:pStyle w:val="text"/>
              <w:spacing w:before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</w:t>
            </w:r>
            <w:r w:rsidRPr="00464082">
              <w:rPr>
                <w:sz w:val="20"/>
                <w:szCs w:val="20"/>
              </w:rPr>
              <w:t>Akceptovatelná odchylka dosažené hodnoty j</w:t>
            </w:r>
            <w:r>
              <w:rPr>
                <w:sz w:val="20"/>
                <w:szCs w:val="20"/>
              </w:rPr>
              <w:t>sou</w:t>
            </w:r>
            <w:r w:rsidRPr="004640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±2% z cílové hodnoty.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 mimo stanovenou toleranci, je nutné s předstihem</w:t>
            </w:r>
            <w:r w:rsidRPr="00057DF8">
              <w:rPr>
                <w:sz w:val="20"/>
                <w:szCs w:val="20"/>
              </w:rPr>
              <w:t xml:space="preserve"> iniciovat změnové řízení </w:t>
            </w:r>
            <w:r>
              <w:rPr>
                <w:sz w:val="20"/>
                <w:szCs w:val="20"/>
              </w:rPr>
              <w:t>po</w:t>
            </w:r>
            <w:r w:rsidRPr="00057DF8">
              <w:rPr>
                <w:sz w:val="20"/>
                <w:szCs w:val="20"/>
              </w:rPr>
              <w:t>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067D30E3" w14:textId="77777777" w:rsidR="00A43B61" w:rsidRPr="002A4245" w:rsidRDefault="00A43B61" w:rsidP="00A60BA1">
            <w:pPr>
              <w:pStyle w:val="text"/>
              <w:spacing w:before="120"/>
              <w:ind w:left="170" w:right="170"/>
              <w:rPr>
                <w:b/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aplikova</w:t>
            </w:r>
            <w:r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 (mimo stanoven</w:t>
            </w:r>
            <w:r>
              <w:rPr>
                <w:sz w:val="20"/>
                <w:szCs w:val="20"/>
              </w:rPr>
              <w:t>ou</w:t>
            </w:r>
            <w:r w:rsidRPr="00BB1C6F">
              <w:rPr>
                <w:sz w:val="20"/>
                <w:szCs w:val="20"/>
              </w:rPr>
              <w:t xml:space="preserve"> toleranc</w:t>
            </w:r>
            <w:r>
              <w:rPr>
                <w:sz w:val="20"/>
                <w:szCs w:val="20"/>
              </w:rPr>
              <w:t>i</w:t>
            </w:r>
            <w:r w:rsidRPr="00BB1C6F">
              <w:rPr>
                <w:sz w:val="20"/>
                <w:szCs w:val="20"/>
              </w:rPr>
              <w:t>),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y</w:t>
            </w:r>
            <w:r w:rsidRPr="00BB1C6F">
              <w:rPr>
                <w:sz w:val="20"/>
                <w:szCs w:val="20"/>
              </w:rPr>
              <w:t xml:space="preserve">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14:paraId="267A2E7B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17AFE4A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37C5D937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55F71B" w14:textId="2ACB974B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54F59927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6D015EE8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68A2E024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4B7DBAA4" w14:textId="77777777" w:rsidR="00A43B61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316DFF32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</w:t>
            </w:r>
          </w:p>
          <w:p w14:paraId="63E3DDEE" w14:textId="77777777" w:rsidR="00A43B61" w:rsidRPr="00464E3A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Součet délky všech nově vybudovaných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prostoru</w:t>
            </w:r>
            <w:r>
              <w:rPr>
                <w:color w:val="000000"/>
                <w:sz w:val="20"/>
                <w:szCs w:val="20"/>
              </w:rPr>
              <w:t xml:space="preserve"> v km s přesností na 3 desetinná místa, zaokrouhlení je prováděno matematicky.</w:t>
            </w:r>
          </w:p>
        </w:tc>
      </w:tr>
    </w:tbl>
    <w:p w14:paraId="3C2AE015" w14:textId="77777777" w:rsidR="00381D8F" w:rsidRDefault="00381D8F" w:rsidP="00AB02BE">
      <w:pPr>
        <w:rPr>
          <w:b/>
        </w:rPr>
      </w:pPr>
    </w:p>
    <w:p w14:paraId="53E35BF2" w14:textId="77777777" w:rsidR="00381D8F" w:rsidRDefault="00381D8F">
      <w:pPr>
        <w:rPr>
          <w:b/>
        </w:rPr>
      </w:pPr>
      <w:r>
        <w:rPr>
          <w:b/>
        </w:rPr>
        <w:br w:type="page"/>
      </w:r>
    </w:p>
    <w:p w14:paraId="544B3658" w14:textId="77777777" w:rsidR="00A43B61" w:rsidRPr="00F57E12" w:rsidRDefault="00A43B61" w:rsidP="00AB02BE">
      <w:pPr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51191F6A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6470A93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11C12E80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BD6FD53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122C4ADE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B2193B5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9D41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Délka REKONSTRUOVANÝCH CYKLOSTEZEK a cyklotras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A43B61" w:rsidRPr="00F57E12" w14:paraId="3EA71E3A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840DE65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BA0A7E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D5703C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E3859EE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2DEF69A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64C3A73F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7E53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9D4158">
              <w:rPr>
                <w:b/>
                <w:bCs/>
                <w:color w:val="000000"/>
              </w:rPr>
              <w:t>7 62 00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0C2C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BB8A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88E1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80138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6A54B02C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0F3F6ED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27FD5B7B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DF76C2A" w14:textId="77777777" w:rsidR="00A43B61" w:rsidRPr="00F57E12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9D4158">
              <w:rPr>
                <w:sz w:val="20"/>
                <w:szCs w:val="20"/>
              </w:rPr>
              <w:t>Počet kilometrů rekonstruovaných nebo jinak stavebně upravovaných cyklostezek a cyklotras. Cyklostezka je pozemní komunikace nebo její jízdní pás (nikoliv jen jízdní pruh) vyhrazená dopravní značkou pro jízdu na jízdním kole. Je určena pouze pro cyklistickou dopravu, automobilová a motocyklová doprava je z ní vyloučena. Naopak cyklotrasa není z hlediska zákona o pozemních komunikacích druh komunikace, ale jedná se o souvislé označení určité komunikace značením pro cyklisty.</w:t>
            </w:r>
          </w:p>
        </w:tc>
      </w:tr>
      <w:tr w:rsidR="00A43B61" w:rsidRPr="00F57E12" w14:paraId="4E3B29E1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AB377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C7B38B3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2FA4F1FF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8A82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87B0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0A6C71AF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E4826D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4B9C85C9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7D51F121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14:paraId="0061DD9A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EC5412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4DFA1B7E" w14:textId="77777777" w:rsidTr="00A60BA1">
        <w:trPr>
          <w:trHeight w:val="28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57EFB4B" w14:textId="77777777" w:rsidR="00A43B61" w:rsidRPr="00673427" w:rsidRDefault="00A43B61" w:rsidP="00A60BA1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1E4F5A">
              <w:rPr>
                <w:b/>
                <w:sz w:val="20"/>
                <w:szCs w:val="20"/>
                <w:u w:val="single"/>
              </w:rPr>
              <w:t>Indikátor je povinný k výběru a k</w:t>
            </w:r>
            <w:r w:rsidRPr="00FC3B36">
              <w:rPr>
                <w:b/>
                <w:sz w:val="20"/>
                <w:szCs w:val="20"/>
                <w:u w:val="single"/>
              </w:rPr>
              <w:t>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14:paraId="337B3561" w14:textId="77777777"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rekonstrukce nebo modernizace samostatných stezek pro cyklisty nebo stezek pro cyklisty a chodce se společným nebo odděleným provozem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18BB96E5" w14:textId="77777777"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rekonstrukce nebo modernizace jízdních pruhů pro cyklisty nebo společných pásů pro cyklisty a chodce v přidruženém prostoru silnic a místních komunikací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6F987BB2" w14:textId="40201830"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úprava liniových opatření pro cyklisty v hlavním dopravním prostoru silnic a místních komunikací v</w:t>
            </w:r>
            <w:r w:rsidR="004338A3">
              <w:rPr>
                <w:rFonts w:cs="Arial"/>
                <w:sz w:val="20"/>
                <w:szCs w:val="20"/>
              </w:rPr>
              <w:t> </w:t>
            </w:r>
            <w:r w:rsidRPr="002A4245">
              <w:rPr>
                <w:rFonts w:cs="Arial"/>
                <w:sz w:val="20"/>
                <w:szCs w:val="20"/>
              </w:rPr>
              <w:t>podobě vyhrazených jízdních pruhů pro cyklisty, piktogramových koridorů pro cyklisty nebo vyhrazených jízdních pruhů pro autobusy a jízdní kola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7CE57D2" w14:textId="77777777" w:rsidR="00A43B61" w:rsidRPr="000842A7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u w:val="single"/>
              </w:rPr>
            </w:pPr>
            <w:r w:rsidRPr="000842A7">
              <w:rPr>
                <w:color w:val="000000"/>
                <w:sz w:val="20"/>
                <w:u w:val="single"/>
              </w:rPr>
              <w:t>Pravidla použití indikátoru</w:t>
            </w:r>
            <w:r>
              <w:rPr>
                <w:color w:val="000000"/>
                <w:sz w:val="20"/>
                <w:u w:val="single"/>
              </w:rPr>
              <w:t>:</w:t>
            </w:r>
            <w:r w:rsidRPr="00464E3A">
              <w:rPr>
                <w:color w:val="000000"/>
                <w:sz w:val="20"/>
              </w:rPr>
              <w:t xml:space="preserve"> </w:t>
            </w:r>
            <w:r w:rsidRPr="000842A7">
              <w:rPr>
                <w:color w:val="000000"/>
                <w:sz w:val="20"/>
              </w:rPr>
              <w:t xml:space="preserve">Cílová hodnota indikátoru na úrovni projektu vyplývá z projektové dokumentace řešené komunikace a jsou do ní započteny </w:t>
            </w:r>
            <w:r>
              <w:rPr>
                <w:color w:val="000000"/>
                <w:sz w:val="20"/>
              </w:rPr>
              <w:t>rekonstruované nebo modernizované</w:t>
            </w:r>
            <w:r w:rsidRPr="000842A7">
              <w:rPr>
                <w:color w:val="000000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komunikace</w:t>
            </w:r>
            <w:r w:rsidRPr="00CB46D3">
              <w:rPr>
                <w:sz w:val="20"/>
                <w:szCs w:val="20"/>
              </w:rPr>
              <w:t xml:space="preserve"> pro cyklisty nebo </w:t>
            </w:r>
            <w:r>
              <w:rPr>
                <w:sz w:val="20"/>
                <w:szCs w:val="20"/>
              </w:rPr>
              <w:t>upravovaná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  <w:szCs w:val="20"/>
              </w:rPr>
              <w:t xml:space="preserve"> silnic a místních komunikací.</w:t>
            </w:r>
            <w:r>
              <w:rPr>
                <w:sz w:val="20"/>
              </w:rPr>
              <w:t xml:space="preserve"> </w:t>
            </w:r>
            <w:r w:rsidRPr="000842A7">
              <w:rPr>
                <w:sz w:val="20"/>
              </w:rPr>
              <w:t xml:space="preserve">Pokud projekt zahrnuje výstavbu nové </w:t>
            </w:r>
            <w:r>
              <w:rPr>
                <w:sz w:val="20"/>
              </w:rPr>
              <w:t>komunikace pro cyklisty nebo realizaci nového liniového opatření pro cyklisty v hlavním dopravním prostoru</w:t>
            </w:r>
            <w:r w:rsidRPr="000842A7">
              <w:rPr>
                <w:sz w:val="20"/>
              </w:rPr>
              <w:t xml:space="preserve"> a </w:t>
            </w:r>
            <w:r>
              <w:rPr>
                <w:sz w:val="20"/>
              </w:rPr>
              <w:t xml:space="preserve">zároveň </w:t>
            </w:r>
            <w:r w:rsidRPr="000842A7">
              <w:rPr>
                <w:sz w:val="20"/>
              </w:rPr>
              <w:t xml:space="preserve">rekonstrukci nebo modernizaci stávající </w:t>
            </w:r>
            <w:r>
              <w:rPr>
                <w:sz w:val="20"/>
              </w:rPr>
              <w:t>komunikace pro cyklisty nebo úpravu stávajícího liniového opatření pro cyklisty v hlavním dopravním prostoru</w:t>
            </w:r>
            <w:r w:rsidRPr="000842A7">
              <w:rPr>
                <w:sz w:val="20"/>
              </w:rPr>
              <w:t xml:space="preserve">, pro nový úsek se použije indikátor „Délka </w:t>
            </w:r>
            <w:r>
              <w:rPr>
                <w:sz w:val="20"/>
              </w:rPr>
              <w:t>nově vybudovaných cyklostezek a cyklotras</w:t>
            </w:r>
            <w:r w:rsidRPr="000842A7">
              <w:rPr>
                <w:sz w:val="20"/>
              </w:rPr>
              <w:t xml:space="preserve">“ a pro </w:t>
            </w:r>
            <w:r w:rsidRPr="000842A7">
              <w:rPr>
                <w:sz w:val="20"/>
              </w:rPr>
              <w:lastRenderedPageBreak/>
              <w:t>rekonstruovaný</w:t>
            </w:r>
            <w:r>
              <w:rPr>
                <w:sz w:val="20"/>
              </w:rPr>
              <w:t>,</w:t>
            </w:r>
            <w:r w:rsidRPr="000842A7">
              <w:rPr>
                <w:sz w:val="20"/>
              </w:rPr>
              <w:t xml:space="preserve"> modernizovaný </w:t>
            </w:r>
            <w:r>
              <w:rPr>
                <w:sz w:val="20"/>
              </w:rPr>
              <w:t xml:space="preserve">nebo upravovaný </w:t>
            </w:r>
            <w:r w:rsidRPr="000842A7">
              <w:rPr>
                <w:sz w:val="20"/>
              </w:rPr>
              <w:t xml:space="preserve">úsek indikátor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 xml:space="preserve">“. Napřímení směrového oblouku </w:t>
            </w:r>
            <w:r>
              <w:rPr>
                <w:sz w:val="20"/>
              </w:rPr>
              <w:t xml:space="preserve">a obdobné směrové úpravy </w:t>
            </w:r>
            <w:r w:rsidRPr="000842A7">
              <w:rPr>
                <w:sz w:val="20"/>
              </w:rPr>
              <w:t xml:space="preserve">stávající </w:t>
            </w:r>
            <w:r>
              <w:rPr>
                <w:sz w:val="20"/>
              </w:rPr>
              <w:t>komunikace pro cyklisty</w:t>
            </w:r>
            <w:r w:rsidRPr="000842A7">
              <w:rPr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 w:rsidRPr="000842A7">
              <w:rPr>
                <w:sz w:val="20"/>
              </w:rPr>
              <w:t xml:space="preserve"> započít</w:t>
            </w:r>
            <w:r>
              <w:rPr>
                <w:sz w:val="20"/>
              </w:rPr>
              <w:t>ají</w:t>
            </w:r>
            <w:r w:rsidRPr="000842A7">
              <w:rPr>
                <w:sz w:val="20"/>
              </w:rPr>
              <w:t xml:space="preserve"> do indikátoru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>“</w:t>
            </w:r>
            <w:r>
              <w:rPr>
                <w:sz w:val="20"/>
              </w:rPr>
              <w:t>.</w:t>
            </w:r>
          </w:p>
          <w:p w14:paraId="520BEC61" w14:textId="77777777" w:rsidR="00A43B61" w:rsidRPr="0099087B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plánovaná délka </w:t>
            </w:r>
            <w:r>
              <w:rPr>
                <w:color w:val="000000"/>
                <w:sz w:val="20"/>
                <w:szCs w:val="20"/>
              </w:rPr>
              <w:t xml:space="preserve">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sz w:val="20"/>
                <w:szCs w:val="20"/>
              </w:rPr>
              <w:t>, uvedená v km. Žadatel se zavazuje stanovenou hodnotu naplnit k datu ukončení realizace projektu.</w:t>
            </w:r>
          </w:p>
          <w:p w14:paraId="2E781DF4" w14:textId="77777777" w:rsidR="00A43B61" w:rsidRDefault="00A43B61" w:rsidP="00A60BA1">
            <w:pPr>
              <w:ind w:lef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64E3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skutečná délka </w:t>
            </w:r>
            <w:r>
              <w:rPr>
                <w:color w:val="000000"/>
                <w:sz w:val="20"/>
                <w:szCs w:val="20"/>
              </w:rPr>
              <w:t xml:space="preserve">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sz w:val="20"/>
                <w:szCs w:val="20"/>
              </w:rPr>
              <w:t>, uvedená v km.</w:t>
            </w:r>
          </w:p>
          <w:p w14:paraId="5121F5E0" w14:textId="77777777" w:rsidR="009329E4" w:rsidRPr="00E00CE1" w:rsidRDefault="009329E4" w:rsidP="00A60BA1">
            <w:pPr>
              <w:ind w:left="170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hodnoty indikátoru se nezapočítává</w:t>
            </w:r>
            <w:r>
              <w:rPr>
                <w:sz w:val="20"/>
              </w:rPr>
              <w:t xml:space="preserve"> délka úseku rekonstruované nebo modernizované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</w:t>
            </w:r>
            <w:r>
              <w:rPr>
                <w:sz w:val="20"/>
                <w:szCs w:val="20"/>
              </w:rPr>
              <w:t>e</w:t>
            </w:r>
            <w:r w:rsidRPr="00CB46D3">
              <w:rPr>
                <w:sz w:val="20"/>
                <w:szCs w:val="20"/>
              </w:rPr>
              <w:t xml:space="preserve">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</w:rPr>
              <w:t xml:space="preserve"> financovaných z nezpůsobilých výdajů projektu.</w:t>
            </w:r>
          </w:p>
          <w:p w14:paraId="1EE28338" w14:textId="77777777" w:rsidR="00A43B61" w:rsidRDefault="00A43B61" w:rsidP="00A60BA1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</w:t>
            </w:r>
            <w:r w:rsidRPr="00464082">
              <w:rPr>
                <w:sz w:val="20"/>
                <w:szCs w:val="20"/>
              </w:rPr>
              <w:t>Akceptovatelná odchylka dosažené hodnoty j</w:t>
            </w:r>
            <w:r>
              <w:rPr>
                <w:sz w:val="20"/>
                <w:szCs w:val="20"/>
              </w:rPr>
              <w:t>sou</w:t>
            </w:r>
            <w:r w:rsidRPr="004640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±2% z cílové hodnoty.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 mimo stanovenou toleranci, je nutné s předstihem</w:t>
            </w:r>
            <w:r w:rsidRPr="00057DF8">
              <w:rPr>
                <w:sz w:val="20"/>
                <w:szCs w:val="20"/>
              </w:rPr>
              <w:t xml:space="preserve"> iniciovat změnové řízení </w:t>
            </w:r>
            <w:r>
              <w:rPr>
                <w:sz w:val="20"/>
                <w:szCs w:val="20"/>
              </w:rPr>
              <w:t>po</w:t>
            </w:r>
            <w:r w:rsidRPr="00057DF8">
              <w:rPr>
                <w:sz w:val="20"/>
                <w:szCs w:val="20"/>
              </w:rPr>
              <w:t>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72D0C3F2" w14:textId="77777777" w:rsidR="00A43B61" w:rsidRPr="00ED5C2E" w:rsidRDefault="00A43B61" w:rsidP="00A60BA1">
            <w:pPr>
              <w:pStyle w:val="text"/>
              <w:spacing w:before="120" w:after="120"/>
              <w:ind w:left="170" w:right="170"/>
              <w:rPr>
                <w:rFonts w:asciiTheme="majorHAnsi" w:hAnsiTheme="majorHAnsi" w:cs="Arial"/>
                <w:color w:val="548DD4" w:themeColor="text2" w:themeTint="99"/>
              </w:rPr>
            </w:pPr>
            <w:r w:rsidRPr="00BB1C6F">
              <w:rPr>
                <w:sz w:val="20"/>
                <w:szCs w:val="20"/>
              </w:rPr>
              <w:t>Výše a typ sankce, kter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aplikova</w:t>
            </w:r>
            <w:r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 (mimo rozmezí stanovené tolerance),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14:paraId="2DFB0EE2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EFD7EED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0FC6A12D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76C434" w14:textId="62A04481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4E51B909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30346650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6545CEF2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4221097C" w14:textId="77777777" w:rsidR="00A43B61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08759F49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</w:t>
            </w:r>
          </w:p>
          <w:p w14:paraId="236C60B4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Součet délky všech 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color w:val="000000"/>
                <w:sz w:val="20"/>
                <w:szCs w:val="20"/>
              </w:rPr>
              <w:t xml:space="preserve"> v km s přesností na 3 desetinná místa, zaokrouhlení je prováděno matematicky.</w:t>
            </w:r>
          </w:p>
        </w:tc>
      </w:tr>
    </w:tbl>
    <w:p w14:paraId="5221EF46" w14:textId="77777777" w:rsidR="00BE13C7" w:rsidRDefault="00BE13C7" w:rsidP="00A43B61">
      <w:pPr>
        <w:spacing w:after="0"/>
        <w:rPr>
          <w:b/>
        </w:rPr>
      </w:pPr>
    </w:p>
    <w:p w14:paraId="7AE5258C" w14:textId="77777777" w:rsidR="00BE13C7" w:rsidRDefault="00BE13C7">
      <w:pPr>
        <w:rPr>
          <w:b/>
        </w:rPr>
      </w:pPr>
      <w:r>
        <w:rPr>
          <w:b/>
        </w:rPr>
        <w:br w:type="page"/>
      </w:r>
    </w:p>
    <w:p w14:paraId="43DE52E3" w14:textId="77777777" w:rsidR="00A43B61" w:rsidRDefault="00A43B61" w:rsidP="00A43B61">
      <w:pPr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08C71A0C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431E9F03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60969BFB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93EFDA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25D2A4D2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CEAC6A0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ED5C2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parkovacích míst pro jízdní kola</w:t>
            </w:r>
          </w:p>
        </w:tc>
      </w:tr>
      <w:tr w:rsidR="00A43B61" w:rsidRPr="00F57E12" w14:paraId="2DCBAD49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D09C4B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ACC4B58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A731E8D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D67C7D0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1694012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3522EE06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8C94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ED5C2E">
              <w:rPr>
                <w:b/>
                <w:bCs/>
                <w:color w:val="000000"/>
              </w:rPr>
              <w:t>7 64 01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F968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FD80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CE80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3C469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0E952525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8123C0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52B441EB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ABEBF0E" w14:textId="77777777" w:rsidR="00621FE1" w:rsidRPr="00ED4B93" w:rsidRDefault="00A43B61" w:rsidP="00ED4B93">
            <w:pPr>
              <w:spacing w:before="240" w:after="240"/>
              <w:ind w:left="170" w:right="170"/>
              <w:jc w:val="both"/>
              <w:rPr>
                <w:sz w:val="20"/>
                <w:szCs w:val="20"/>
              </w:rPr>
            </w:pPr>
            <w:r w:rsidRPr="00ED5C2E">
              <w:rPr>
                <w:sz w:val="20"/>
                <w:szCs w:val="20"/>
              </w:rPr>
              <w:t xml:space="preserve">Jedná se o zařízení určená k parkování (krátkodobému, střednědobému a dlouhodobému) </w:t>
            </w:r>
            <w:r>
              <w:rPr>
                <w:sz w:val="20"/>
                <w:szCs w:val="20"/>
              </w:rPr>
              <w:t>jízdních kol</w:t>
            </w:r>
            <w:r w:rsidRPr="00ED5C2E">
              <w:rPr>
                <w:sz w:val="20"/>
                <w:szCs w:val="20"/>
              </w:rPr>
              <w:t>. Měrnou jednotkou jsou jednotlivá parkovací místa zajištěná např. formou stojanů.</w:t>
            </w:r>
          </w:p>
        </w:tc>
      </w:tr>
      <w:tr w:rsidR="00A43B61" w:rsidRPr="00F57E12" w14:paraId="54936B17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51B94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23E8C2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66BC9326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30A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D7C565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437BDA32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B66028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09F30B8E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16E9266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A43B61" w:rsidRPr="00F57E12" w14:paraId="755CD7D4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C0EF86A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2B56200C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5D0D5F5" w14:textId="77777777" w:rsidR="00A43B61" w:rsidRPr="00913873" w:rsidRDefault="00A43B61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 projekty, jejichž součástí je</w:t>
            </w:r>
            <w:r>
              <w:rPr>
                <w:sz w:val="20"/>
                <w:szCs w:val="20"/>
              </w:rPr>
              <w:t xml:space="preserve"> realizace </w:t>
            </w:r>
            <w:r w:rsidRPr="005F73C9">
              <w:rPr>
                <w:sz w:val="20"/>
                <w:szCs w:val="20"/>
              </w:rPr>
              <w:t>pevných</w:t>
            </w:r>
            <w:r>
              <w:rPr>
                <w:sz w:val="20"/>
                <w:szCs w:val="20"/>
              </w:rPr>
              <w:t xml:space="preserve"> </w:t>
            </w:r>
            <w:r w:rsidRPr="005F73C9">
              <w:rPr>
                <w:sz w:val="20"/>
                <w:szCs w:val="20"/>
              </w:rPr>
              <w:t>stojanů na jízdní kola nebo uzamykatelných boxů na jízdní kola.</w:t>
            </w:r>
          </w:p>
          <w:p w14:paraId="37ACC7E2" w14:textId="77777777" w:rsidR="00A43B61" w:rsidRPr="0099087B" w:rsidRDefault="00A43B61" w:rsidP="007C6078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vytvořených nebo upravených parkovacích míst pro jízdní kola, zajištěných prostřednictvím pevných stojanů nebo uzamykatelných boxů na jízdní kola. Žadatel se zavazuje stanovenou hodnotu naplnit k datu ukončení realizace projektu.</w:t>
            </w:r>
          </w:p>
          <w:p w14:paraId="7A7D058F" w14:textId="77777777" w:rsidR="00A43B61" w:rsidRDefault="00A43B61" w:rsidP="007C6078">
            <w:pPr>
              <w:ind w:lef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Dosažená hodnota: </w:t>
            </w:r>
            <w:r>
              <w:rPr>
                <w:sz w:val="20"/>
                <w:szCs w:val="20"/>
              </w:rPr>
              <w:t xml:space="preserve">skutečný počet </w:t>
            </w:r>
            <w:r>
              <w:rPr>
                <w:color w:val="000000"/>
                <w:sz w:val="20"/>
                <w:szCs w:val="20"/>
              </w:rPr>
              <w:t xml:space="preserve">vytvořených nebo upravených </w:t>
            </w:r>
            <w:r>
              <w:rPr>
                <w:sz w:val="20"/>
                <w:szCs w:val="20"/>
              </w:rPr>
              <w:t>parkovacích míst pro jízdní kola, zajištěných prostřednictvím pevných stojanů nebo uzamykatelných boxů na jízdní kola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94B44B3" w14:textId="77777777" w:rsidR="00621FE1" w:rsidRPr="00ED4B93" w:rsidRDefault="003F1361" w:rsidP="00ED4B93">
            <w:pPr>
              <w:spacing w:before="120" w:after="120" w:line="360" w:lineRule="auto"/>
              <w:ind w:left="170" w:right="170"/>
              <w:jc w:val="both"/>
              <w:rPr>
                <w:b/>
                <w:sz w:val="20"/>
              </w:rPr>
            </w:pPr>
            <w:r w:rsidRPr="00ED4B93">
              <w:rPr>
                <w:b/>
                <w:sz w:val="20"/>
              </w:rPr>
              <w:t>Do hodnoty indikátoru se nezapočítávají parkovací místa financovaná z nezpůsobilých výdajů projektu.</w:t>
            </w:r>
          </w:p>
          <w:p w14:paraId="47974358" w14:textId="5A5E0CA2" w:rsidR="00A43B61" w:rsidRPr="00764007" w:rsidRDefault="00A43B61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přeplnění cílové hodnoty indikátoru, je nutné s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10FF6947" w14:textId="77777777" w:rsidR="00621FE1" w:rsidRDefault="00A43B61" w:rsidP="00BE13C7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</w:t>
            </w:r>
            <w:r w:rsidR="00980D9B">
              <w:rPr>
                <w:sz w:val="20"/>
                <w:szCs w:val="20"/>
              </w:rPr>
              <w:t>.</w:t>
            </w:r>
          </w:p>
          <w:p w14:paraId="31768842" w14:textId="77777777" w:rsidR="00A43B61" w:rsidRPr="008226DE" w:rsidRDefault="00A43B6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</w:tc>
      </w:tr>
      <w:tr w:rsidR="00A43B61" w:rsidRPr="00F57E12" w14:paraId="1724B165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2183E8F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067166D8" w14:textId="77777777" w:rsidTr="00A60BA1">
        <w:trPr>
          <w:trHeight w:val="244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B62111" w14:textId="081195F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671F7DE9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3E2E53D9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12537D82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28029741" w14:textId="77777777" w:rsidR="00A43B61" w:rsidRPr="008226DE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478311DC" w14:textId="77777777" w:rsidR="00456BCB" w:rsidRDefault="00456BCB" w:rsidP="00BE13C7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  <w:sectPr w:rsidR="00456BCB" w:rsidSect="00456BCB">
          <w:headerReference w:type="default" r:id="rId10"/>
          <w:footerReference w:type="default" r:id="rId11"/>
          <w:pgSz w:w="11906" w:h="16838"/>
          <w:pgMar w:top="2376" w:right="1418" w:bottom="1418" w:left="1418" w:header="709" w:footer="709" w:gutter="0"/>
          <w:cols w:space="708"/>
          <w:docGrid w:linePitch="360"/>
        </w:sectPr>
      </w:pPr>
    </w:p>
    <w:p w14:paraId="0A50F0E7" w14:textId="130EB31C" w:rsidR="00456BCB" w:rsidRPr="00ED4B93" w:rsidRDefault="00456BCB" w:rsidP="00456BCB">
      <w:pPr>
        <w:spacing w:after="0"/>
        <w:rPr>
          <w:b/>
          <w:sz w:val="28"/>
          <w:szCs w:val="28"/>
        </w:rPr>
      </w:pPr>
      <w:r w:rsidRPr="00ED4B93">
        <w:rPr>
          <w:b/>
          <w:sz w:val="28"/>
          <w:szCs w:val="28"/>
        </w:rPr>
        <w:lastRenderedPageBreak/>
        <w:t>VAZEBNÍ TABULKA pro aktivit</w:t>
      </w:r>
      <w:r>
        <w:rPr>
          <w:b/>
          <w:sz w:val="28"/>
          <w:szCs w:val="28"/>
        </w:rPr>
        <w:t>u „Cyklodoprava“</w:t>
      </w:r>
    </w:p>
    <w:tbl>
      <w:tblPr>
        <w:tblW w:w="13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864"/>
        <w:gridCol w:w="1034"/>
        <w:gridCol w:w="2693"/>
      </w:tblGrid>
      <w:tr w:rsidR="00456BCB" w:rsidRPr="00C625B1" w14:paraId="3F1589B6" w14:textId="77777777" w:rsidTr="00421D3C">
        <w:trPr>
          <w:trHeight w:val="1765"/>
        </w:trPr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886F" w14:textId="77777777" w:rsidR="00456BCB" w:rsidRPr="009F0E86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Náplň projektu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0534" w14:textId="77777777" w:rsidR="00456BCB" w:rsidRPr="009F0E86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Povinné indikátory k výběru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97E6" w14:textId="77777777" w:rsidR="00456BCB" w:rsidRPr="009F0E86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Povinný k naplnění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1DB5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Možnost kombinace  </w:t>
            </w:r>
          </w:p>
        </w:tc>
      </w:tr>
      <w:tr w:rsidR="00456BCB" w:rsidRPr="00C625B1" w14:paraId="49704FD6" w14:textId="77777777" w:rsidTr="00421D3C">
        <w:trPr>
          <w:trHeight w:val="1758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E69B" w14:textId="6B21E1E2" w:rsidR="00456BCB" w:rsidRPr="00C625B1" w:rsidRDefault="00456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Výstavba nových cyklostezek a cyklotras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(výstavba samostatných stezek pro cyklisty nebo stezek pro cyklisty a chodce se společným nebo odděleným provozem (s</w:t>
            </w:r>
            <w:r w:rsidR="00ED56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výstavba jízdních pruhů pro cyklisty nebo společných pásů pro cyklisty a chodce v přidruženém prostoru silnic a místních komunikací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realizace liniových opatření pro cyklisty v hlavním dopravním prostoru silnic a místních komunikací v podobě vyhrazených jízdních pruhů pro cyklisty, piktogramových koridorů pro cyklisty nebo vyhrazených jízdních pruhů pro autobusy a jízdní kola)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99D5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61 00  -  Délka nově vybudovaných cyklostezek a cyklotras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BD5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00D9" w14:textId="77777777" w:rsidR="00456BCB" w:rsidRPr="00C625B1" w:rsidRDefault="00456BCB" w:rsidP="00456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rekonstrukcí cyklostezek a cyklotras a realizací parkovacích míst pro jízdní kola</w:t>
            </w:r>
          </w:p>
        </w:tc>
      </w:tr>
      <w:tr w:rsidR="00456BCB" w:rsidRPr="00C625B1" w14:paraId="540094A7" w14:textId="77777777" w:rsidTr="00421D3C">
        <w:trPr>
          <w:trHeight w:val="1849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97C3" w14:textId="314FDCDC" w:rsidR="00456BCB" w:rsidRPr="00C625B1" w:rsidRDefault="00456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Rekonstrukce cyklostezek a cyklotras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(rekonstrukce nebo modernizace samostatných stezek pro cyklisty nebo stezek pro cyklisty a chodce se společným nebo odděleným provozem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rekonstrukce nebo modernizace jízdních pruhů pro cyklisty nebo společných pásů pro cyklisty a chodce v přidruženém prostoru silnic a místních komunikací (s</w:t>
            </w:r>
            <w:r w:rsidR="00ED56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úprava liniových opatření pro cyklisty v hlavním dopravním prostoru silnic a místních komunikací v podobě vyhrazených jízdních pruhů pro cyklisty, piktogramových koridorů pro cyklisty nebo vyhrazených jízdních pruhů pro autobusy a jízdní kola)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F792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62 00  -  Délka rekonstruovaných cyklostezek a cyklotras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6CE4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519ED" w14:textId="77777777" w:rsidR="00456BCB" w:rsidRPr="00C625B1" w:rsidRDefault="00456BCB" w:rsidP="00456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výstavbou nových cyklostezek a cyklotras a realizací parkovacích míst pro jízdní kola</w:t>
            </w:r>
          </w:p>
        </w:tc>
      </w:tr>
      <w:tr w:rsidR="00456BCB" w:rsidRPr="00C625B1" w14:paraId="4FB11075" w14:textId="77777777" w:rsidTr="00421D3C">
        <w:trPr>
          <w:trHeight w:val="675"/>
        </w:trPr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B8BD" w14:textId="33396D81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Realizace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parkovacích míst pro jízdní kola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jako doprovodné infrastruktury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je 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nutné kombinovat 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 alespoň jednou z náplní projektů uvedených pod čísly 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1-3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(realizace pevných stojanů na jízdní kola nebo uzamykatelných boxů na jízdní kola)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FDFA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64 01  -  Počet parkovacích míst pro jízdní kola 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5F6D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98E2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Ano, povinně</w:t>
            </w:r>
          </w:p>
        </w:tc>
      </w:tr>
    </w:tbl>
    <w:p w14:paraId="56D14A18" w14:textId="77777777" w:rsidR="00456BCB" w:rsidRPr="004C15AB" w:rsidRDefault="00456BCB" w:rsidP="00456BCB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</w:pPr>
    </w:p>
    <w:p w14:paraId="361462A5" w14:textId="77777777" w:rsidR="00456BCB" w:rsidRPr="004C15AB" w:rsidRDefault="00456BCB" w:rsidP="00BE13C7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</w:pPr>
    </w:p>
    <w:sectPr w:rsidR="00456BCB" w:rsidRPr="004C15AB" w:rsidSect="002A19A5">
      <w:pgSz w:w="16838" w:h="11906" w:orient="landscape"/>
      <w:pgMar w:top="1418" w:right="23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8ECCA" w14:textId="77777777" w:rsidR="008A3641" w:rsidRDefault="008A3641" w:rsidP="00C835D3">
      <w:pPr>
        <w:spacing w:after="0" w:line="240" w:lineRule="auto"/>
      </w:pPr>
      <w:r>
        <w:separator/>
      </w:r>
    </w:p>
  </w:endnote>
  <w:endnote w:type="continuationSeparator" w:id="0">
    <w:p w14:paraId="52C2C1E1" w14:textId="77777777" w:rsidR="008A3641" w:rsidRDefault="008A3641" w:rsidP="00C8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8A3641" w:rsidRPr="00E47FC1" w14:paraId="0E95D126" w14:textId="77777777" w:rsidTr="002D603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5314B0E" w14:textId="77777777" w:rsidR="008A3641" w:rsidRPr="00E47FC1" w:rsidRDefault="008A3641" w:rsidP="00861B9B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F1925F0" w14:textId="77777777" w:rsidR="008A3641" w:rsidRPr="00E47FC1" w:rsidRDefault="008A3641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42D13776" w14:textId="77777777" w:rsidR="008A3641" w:rsidRPr="00E47FC1" w:rsidRDefault="008A3641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F498A72" w14:textId="77777777" w:rsidR="008A3641" w:rsidRPr="00E47FC1" w:rsidRDefault="008A3641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3513CC9" w14:textId="4DD44C79" w:rsidR="008A3641" w:rsidRPr="00E47FC1" w:rsidRDefault="008A3641" w:rsidP="002D603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DC178D">
            <w:rPr>
              <w:rStyle w:val="slostrnky"/>
              <w:rFonts w:ascii="Arial" w:hAnsi="Arial" w:cs="Arial"/>
              <w:noProof/>
            </w:rPr>
            <w:t>1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  <w:r w:rsidRPr="00E47FC1">
            <w:rPr>
              <w:rStyle w:val="slostrnky"/>
              <w:rFonts w:ascii="Arial" w:hAnsi="Arial" w:cs="Arial"/>
            </w:rPr>
            <w:t xml:space="preserve"> z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DC178D">
            <w:rPr>
              <w:rStyle w:val="slostrnky"/>
              <w:rFonts w:ascii="Arial" w:hAnsi="Arial" w:cs="Arial"/>
              <w:noProof/>
            </w:rPr>
            <w:t>31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14:paraId="24856876" w14:textId="77777777" w:rsidR="008A3641" w:rsidRDefault="008A36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8A3641" w:rsidRPr="00E47FC1" w14:paraId="4C9F45CD" w14:textId="77777777" w:rsidTr="00A60BA1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00635DF9" w14:textId="77777777" w:rsidR="008A3641" w:rsidRPr="00E47FC1" w:rsidRDefault="008A3641" w:rsidP="00A60BA1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F18BF24" w14:textId="77777777" w:rsidR="008A3641" w:rsidRPr="00E47FC1" w:rsidRDefault="008A3641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369D64A" w14:textId="77777777" w:rsidR="008A3641" w:rsidRPr="00E47FC1" w:rsidRDefault="008A3641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E4EDA08" w14:textId="77777777" w:rsidR="008A3641" w:rsidRPr="00E47FC1" w:rsidRDefault="008A3641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20F3633" w14:textId="68E847E3" w:rsidR="008A3641" w:rsidRPr="00E47FC1" w:rsidRDefault="008A3641" w:rsidP="00A60BA1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DC178D">
            <w:rPr>
              <w:rStyle w:val="slostrnky"/>
              <w:rFonts w:ascii="Arial" w:hAnsi="Arial" w:cs="Arial"/>
              <w:noProof/>
            </w:rPr>
            <w:t>21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  <w:r w:rsidRPr="00E47FC1">
            <w:rPr>
              <w:rStyle w:val="slostrnky"/>
              <w:rFonts w:ascii="Arial" w:hAnsi="Arial" w:cs="Arial"/>
            </w:rPr>
            <w:t xml:space="preserve"> z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DC178D">
            <w:rPr>
              <w:rStyle w:val="slostrnky"/>
              <w:rFonts w:ascii="Arial" w:hAnsi="Arial" w:cs="Arial"/>
              <w:noProof/>
            </w:rPr>
            <w:t>31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14:paraId="1545AC4E" w14:textId="77777777" w:rsidR="008A3641" w:rsidRDefault="008A36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21BA5" w14:textId="77777777" w:rsidR="008A3641" w:rsidRDefault="008A3641" w:rsidP="00C835D3">
      <w:pPr>
        <w:spacing w:after="0" w:line="240" w:lineRule="auto"/>
      </w:pPr>
      <w:r>
        <w:separator/>
      </w:r>
    </w:p>
  </w:footnote>
  <w:footnote w:type="continuationSeparator" w:id="0">
    <w:p w14:paraId="08AD8DD4" w14:textId="77777777" w:rsidR="008A3641" w:rsidRDefault="008A3641" w:rsidP="00C8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2886F" w14:textId="77777777" w:rsidR="008A3641" w:rsidRDefault="008A3641" w:rsidP="00C835D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ED5847F" wp14:editId="3048C74B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3BF0B" w14:textId="77777777" w:rsidR="008A3641" w:rsidRDefault="008A3641" w:rsidP="00A60BA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31242D6" wp14:editId="1E9B0D98">
          <wp:extent cx="5270500" cy="870421"/>
          <wp:effectExtent l="0" t="0" r="6350" b="6350"/>
          <wp:docPr id="8" name="Obrázek 8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4D307" w14:textId="77777777" w:rsidR="008A3641" w:rsidRDefault="008A36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238"/>
    <w:multiLevelType w:val="hybridMultilevel"/>
    <w:tmpl w:val="F3FE0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73DD"/>
    <w:multiLevelType w:val="hybridMultilevel"/>
    <w:tmpl w:val="925C61E0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21FF722D"/>
    <w:multiLevelType w:val="hybridMultilevel"/>
    <w:tmpl w:val="41C8F01E"/>
    <w:lvl w:ilvl="0" w:tplc="6E26470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25AA1"/>
    <w:multiLevelType w:val="hybridMultilevel"/>
    <w:tmpl w:val="170ECF9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3A65"/>
    <w:multiLevelType w:val="hybridMultilevel"/>
    <w:tmpl w:val="DAC69F84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604F"/>
    <w:multiLevelType w:val="hybridMultilevel"/>
    <w:tmpl w:val="A70861D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90B93"/>
    <w:multiLevelType w:val="hybridMultilevel"/>
    <w:tmpl w:val="F3FE0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E76B3"/>
    <w:multiLevelType w:val="hybridMultilevel"/>
    <w:tmpl w:val="2124D720"/>
    <w:lvl w:ilvl="0" w:tplc="912CD33A">
      <w:start w:val="1"/>
      <w:numFmt w:val="decimal"/>
      <w:lvlText w:val="%1)"/>
      <w:lvlJc w:val="left"/>
      <w:pPr>
        <w:ind w:left="89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775B2C2D"/>
    <w:multiLevelType w:val="hybridMultilevel"/>
    <w:tmpl w:val="C928990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69610D"/>
    <w:multiLevelType w:val="hybridMultilevel"/>
    <w:tmpl w:val="9BB850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2F"/>
    <w:rsid w:val="00000FE3"/>
    <w:rsid w:val="00001F17"/>
    <w:rsid w:val="000161F6"/>
    <w:rsid w:val="00024098"/>
    <w:rsid w:val="00033E1A"/>
    <w:rsid w:val="000429A8"/>
    <w:rsid w:val="00043930"/>
    <w:rsid w:val="0004657C"/>
    <w:rsid w:val="00081B1C"/>
    <w:rsid w:val="000830EB"/>
    <w:rsid w:val="000962DA"/>
    <w:rsid w:val="000A0A2C"/>
    <w:rsid w:val="000A2621"/>
    <w:rsid w:val="000B1EA7"/>
    <w:rsid w:val="000B62A9"/>
    <w:rsid w:val="000C7543"/>
    <w:rsid w:val="000C777B"/>
    <w:rsid w:val="000D13D9"/>
    <w:rsid w:val="000E5B07"/>
    <w:rsid w:val="000E6B82"/>
    <w:rsid w:val="00104C3D"/>
    <w:rsid w:val="00107CD8"/>
    <w:rsid w:val="00111021"/>
    <w:rsid w:val="0012777C"/>
    <w:rsid w:val="00141E9B"/>
    <w:rsid w:val="00155816"/>
    <w:rsid w:val="001646EE"/>
    <w:rsid w:val="00165CA3"/>
    <w:rsid w:val="00171E4E"/>
    <w:rsid w:val="00172802"/>
    <w:rsid w:val="00176F7E"/>
    <w:rsid w:val="00191E6C"/>
    <w:rsid w:val="001923E5"/>
    <w:rsid w:val="001A7196"/>
    <w:rsid w:val="001D098D"/>
    <w:rsid w:val="001F0480"/>
    <w:rsid w:val="001F7451"/>
    <w:rsid w:val="001F7EE1"/>
    <w:rsid w:val="0020114E"/>
    <w:rsid w:val="00201611"/>
    <w:rsid w:val="0020201B"/>
    <w:rsid w:val="0020297F"/>
    <w:rsid w:val="00205CD4"/>
    <w:rsid w:val="0021004C"/>
    <w:rsid w:val="002142A6"/>
    <w:rsid w:val="00221419"/>
    <w:rsid w:val="00224749"/>
    <w:rsid w:val="00233610"/>
    <w:rsid w:val="00234711"/>
    <w:rsid w:val="002365FC"/>
    <w:rsid w:val="00236D1E"/>
    <w:rsid w:val="0024107F"/>
    <w:rsid w:val="00245457"/>
    <w:rsid w:val="00252CC2"/>
    <w:rsid w:val="002573B6"/>
    <w:rsid w:val="002740BD"/>
    <w:rsid w:val="00276C57"/>
    <w:rsid w:val="00282172"/>
    <w:rsid w:val="00285CA0"/>
    <w:rsid w:val="002865E2"/>
    <w:rsid w:val="0028714A"/>
    <w:rsid w:val="0029766C"/>
    <w:rsid w:val="002A19A5"/>
    <w:rsid w:val="002D50C8"/>
    <w:rsid w:val="002D603F"/>
    <w:rsid w:val="002D6EAA"/>
    <w:rsid w:val="002E1A6E"/>
    <w:rsid w:val="002E389C"/>
    <w:rsid w:val="00306C50"/>
    <w:rsid w:val="00313FAB"/>
    <w:rsid w:val="00315A0A"/>
    <w:rsid w:val="00317142"/>
    <w:rsid w:val="003212DA"/>
    <w:rsid w:val="00326CE2"/>
    <w:rsid w:val="00326E23"/>
    <w:rsid w:val="00336094"/>
    <w:rsid w:val="003376A4"/>
    <w:rsid w:val="00350371"/>
    <w:rsid w:val="00350B24"/>
    <w:rsid w:val="00363D01"/>
    <w:rsid w:val="0036640B"/>
    <w:rsid w:val="00366E14"/>
    <w:rsid w:val="0037240E"/>
    <w:rsid w:val="00373625"/>
    <w:rsid w:val="00381D8F"/>
    <w:rsid w:val="00385F51"/>
    <w:rsid w:val="00386A44"/>
    <w:rsid w:val="00386AB4"/>
    <w:rsid w:val="003A598B"/>
    <w:rsid w:val="003B5934"/>
    <w:rsid w:val="003C5845"/>
    <w:rsid w:val="003D0B88"/>
    <w:rsid w:val="003D7C19"/>
    <w:rsid w:val="003E3A69"/>
    <w:rsid w:val="003F1361"/>
    <w:rsid w:val="003F45D6"/>
    <w:rsid w:val="003F4855"/>
    <w:rsid w:val="003F7A75"/>
    <w:rsid w:val="00400377"/>
    <w:rsid w:val="00400619"/>
    <w:rsid w:val="00410CB9"/>
    <w:rsid w:val="00421D3C"/>
    <w:rsid w:val="00424F7D"/>
    <w:rsid w:val="00431175"/>
    <w:rsid w:val="004338A3"/>
    <w:rsid w:val="004358CE"/>
    <w:rsid w:val="0043756F"/>
    <w:rsid w:val="004426B9"/>
    <w:rsid w:val="004437BE"/>
    <w:rsid w:val="00446417"/>
    <w:rsid w:val="00447E3B"/>
    <w:rsid w:val="00456BCB"/>
    <w:rsid w:val="0045703D"/>
    <w:rsid w:val="0045780F"/>
    <w:rsid w:val="00462E6B"/>
    <w:rsid w:val="0047362F"/>
    <w:rsid w:val="004779A2"/>
    <w:rsid w:val="00494612"/>
    <w:rsid w:val="004A1303"/>
    <w:rsid w:val="004A3F20"/>
    <w:rsid w:val="004B5862"/>
    <w:rsid w:val="004C15AB"/>
    <w:rsid w:val="004D6948"/>
    <w:rsid w:val="004E321D"/>
    <w:rsid w:val="004E7673"/>
    <w:rsid w:val="00500C6B"/>
    <w:rsid w:val="00502F17"/>
    <w:rsid w:val="00510913"/>
    <w:rsid w:val="005228A7"/>
    <w:rsid w:val="00543A46"/>
    <w:rsid w:val="00544888"/>
    <w:rsid w:val="00547E70"/>
    <w:rsid w:val="00553807"/>
    <w:rsid w:val="00555165"/>
    <w:rsid w:val="00557705"/>
    <w:rsid w:val="0056184C"/>
    <w:rsid w:val="00564062"/>
    <w:rsid w:val="00564C96"/>
    <w:rsid w:val="005734CC"/>
    <w:rsid w:val="00575F28"/>
    <w:rsid w:val="005833A0"/>
    <w:rsid w:val="0058490C"/>
    <w:rsid w:val="00586125"/>
    <w:rsid w:val="005875BE"/>
    <w:rsid w:val="00587843"/>
    <w:rsid w:val="005911B1"/>
    <w:rsid w:val="0059574C"/>
    <w:rsid w:val="005A03B9"/>
    <w:rsid w:val="005B3938"/>
    <w:rsid w:val="005B5F31"/>
    <w:rsid w:val="005C7C4E"/>
    <w:rsid w:val="005D786D"/>
    <w:rsid w:val="00606C7B"/>
    <w:rsid w:val="00612752"/>
    <w:rsid w:val="00616599"/>
    <w:rsid w:val="00617F48"/>
    <w:rsid w:val="00621FE1"/>
    <w:rsid w:val="006244C7"/>
    <w:rsid w:val="00630787"/>
    <w:rsid w:val="00635E2D"/>
    <w:rsid w:val="00650BEB"/>
    <w:rsid w:val="00655285"/>
    <w:rsid w:val="00656F8A"/>
    <w:rsid w:val="00667424"/>
    <w:rsid w:val="00683F88"/>
    <w:rsid w:val="006944A6"/>
    <w:rsid w:val="00694BF9"/>
    <w:rsid w:val="006A6DC1"/>
    <w:rsid w:val="006C01AE"/>
    <w:rsid w:val="006C7526"/>
    <w:rsid w:val="006E7161"/>
    <w:rsid w:val="007139DD"/>
    <w:rsid w:val="00713DB0"/>
    <w:rsid w:val="00714F3E"/>
    <w:rsid w:val="0071751B"/>
    <w:rsid w:val="00727751"/>
    <w:rsid w:val="00727F1E"/>
    <w:rsid w:val="007310A5"/>
    <w:rsid w:val="00734190"/>
    <w:rsid w:val="00736609"/>
    <w:rsid w:val="00740B68"/>
    <w:rsid w:val="007505EE"/>
    <w:rsid w:val="00763EB0"/>
    <w:rsid w:val="0076585A"/>
    <w:rsid w:val="007668A1"/>
    <w:rsid w:val="007727C0"/>
    <w:rsid w:val="00782E38"/>
    <w:rsid w:val="007905F1"/>
    <w:rsid w:val="007916B3"/>
    <w:rsid w:val="0079673A"/>
    <w:rsid w:val="007B58AB"/>
    <w:rsid w:val="007C6078"/>
    <w:rsid w:val="007D16E4"/>
    <w:rsid w:val="007F4C70"/>
    <w:rsid w:val="007F6713"/>
    <w:rsid w:val="0080696C"/>
    <w:rsid w:val="00810858"/>
    <w:rsid w:val="008133E5"/>
    <w:rsid w:val="00830E53"/>
    <w:rsid w:val="00833AEA"/>
    <w:rsid w:val="0085320D"/>
    <w:rsid w:val="00861B9B"/>
    <w:rsid w:val="00864D7A"/>
    <w:rsid w:val="008710CE"/>
    <w:rsid w:val="008759B9"/>
    <w:rsid w:val="008915A8"/>
    <w:rsid w:val="008957E0"/>
    <w:rsid w:val="008A3641"/>
    <w:rsid w:val="008A61E3"/>
    <w:rsid w:val="008B3476"/>
    <w:rsid w:val="008B626D"/>
    <w:rsid w:val="008B6445"/>
    <w:rsid w:val="008B755D"/>
    <w:rsid w:val="008C74C4"/>
    <w:rsid w:val="008D13C1"/>
    <w:rsid w:val="008D1624"/>
    <w:rsid w:val="008D287D"/>
    <w:rsid w:val="008E3AB7"/>
    <w:rsid w:val="008E3C12"/>
    <w:rsid w:val="0090231C"/>
    <w:rsid w:val="00912B9A"/>
    <w:rsid w:val="00915F4C"/>
    <w:rsid w:val="00916F5C"/>
    <w:rsid w:val="00925E38"/>
    <w:rsid w:val="009329E4"/>
    <w:rsid w:val="00954DD4"/>
    <w:rsid w:val="00971C27"/>
    <w:rsid w:val="0098038A"/>
    <w:rsid w:val="00980D9B"/>
    <w:rsid w:val="00991B35"/>
    <w:rsid w:val="009A5543"/>
    <w:rsid w:val="009A7A5F"/>
    <w:rsid w:val="009B22B1"/>
    <w:rsid w:val="009C48D6"/>
    <w:rsid w:val="009C68A6"/>
    <w:rsid w:val="009C6ED8"/>
    <w:rsid w:val="009D4158"/>
    <w:rsid w:val="009E3C79"/>
    <w:rsid w:val="009E5FB0"/>
    <w:rsid w:val="009F0E86"/>
    <w:rsid w:val="00A126D7"/>
    <w:rsid w:val="00A15B48"/>
    <w:rsid w:val="00A15E09"/>
    <w:rsid w:val="00A24C23"/>
    <w:rsid w:val="00A37A03"/>
    <w:rsid w:val="00A43B61"/>
    <w:rsid w:val="00A45202"/>
    <w:rsid w:val="00A545DD"/>
    <w:rsid w:val="00A604DD"/>
    <w:rsid w:val="00A60BA1"/>
    <w:rsid w:val="00A61432"/>
    <w:rsid w:val="00A755A1"/>
    <w:rsid w:val="00A86FB3"/>
    <w:rsid w:val="00A87E69"/>
    <w:rsid w:val="00A91C32"/>
    <w:rsid w:val="00A95AFA"/>
    <w:rsid w:val="00AA0F52"/>
    <w:rsid w:val="00AA19B3"/>
    <w:rsid w:val="00AA39D6"/>
    <w:rsid w:val="00AB02BE"/>
    <w:rsid w:val="00AC13BC"/>
    <w:rsid w:val="00AD3B0A"/>
    <w:rsid w:val="00AD57D1"/>
    <w:rsid w:val="00AE7D2C"/>
    <w:rsid w:val="00B12F17"/>
    <w:rsid w:val="00B25184"/>
    <w:rsid w:val="00B25848"/>
    <w:rsid w:val="00B30B9C"/>
    <w:rsid w:val="00B363F9"/>
    <w:rsid w:val="00B42531"/>
    <w:rsid w:val="00B44B7B"/>
    <w:rsid w:val="00B45BBD"/>
    <w:rsid w:val="00B5510A"/>
    <w:rsid w:val="00B65749"/>
    <w:rsid w:val="00B75D43"/>
    <w:rsid w:val="00B77437"/>
    <w:rsid w:val="00B800D4"/>
    <w:rsid w:val="00B81D45"/>
    <w:rsid w:val="00B937B2"/>
    <w:rsid w:val="00BA161F"/>
    <w:rsid w:val="00BB46C5"/>
    <w:rsid w:val="00BB7CC4"/>
    <w:rsid w:val="00BC10F4"/>
    <w:rsid w:val="00BD2831"/>
    <w:rsid w:val="00BD6230"/>
    <w:rsid w:val="00BE13C7"/>
    <w:rsid w:val="00BF0DD8"/>
    <w:rsid w:val="00C016F7"/>
    <w:rsid w:val="00C10956"/>
    <w:rsid w:val="00C12042"/>
    <w:rsid w:val="00C15584"/>
    <w:rsid w:val="00C20E20"/>
    <w:rsid w:val="00C23BA2"/>
    <w:rsid w:val="00C36188"/>
    <w:rsid w:val="00C41E16"/>
    <w:rsid w:val="00C43A67"/>
    <w:rsid w:val="00C46086"/>
    <w:rsid w:val="00C463D9"/>
    <w:rsid w:val="00C72058"/>
    <w:rsid w:val="00C73833"/>
    <w:rsid w:val="00C81533"/>
    <w:rsid w:val="00C835D3"/>
    <w:rsid w:val="00C913D1"/>
    <w:rsid w:val="00C924B0"/>
    <w:rsid w:val="00C93D97"/>
    <w:rsid w:val="00C94BB6"/>
    <w:rsid w:val="00CA3729"/>
    <w:rsid w:val="00CA4801"/>
    <w:rsid w:val="00CB4023"/>
    <w:rsid w:val="00CC1B95"/>
    <w:rsid w:val="00CC5F93"/>
    <w:rsid w:val="00CD1B95"/>
    <w:rsid w:val="00CE45B2"/>
    <w:rsid w:val="00CF152B"/>
    <w:rsid w:val="00CF3AC4"/>
    <w:rsid w:val="00CF465C"/>
    <w:rsid w:val="00D03E9E"/>
    <w:rsid w:val="00D13AAE"/>
    <w:rsid w:val="00D31042"/>
    <w:rsid w:val="00D345EF"/>
    <w:rsid w:val="00D36F98"/>
    <w:rsid w:val="00D413F1"/>
    <w:rsid w:val="00D50319"/>
    <w:rsid w:val="00D55FEA"/>
    <w:rsid w:val="00D648BE"/>
    <w:rsid w:val="00D77BD9"/>
    <w:rsid w:val="00D83D5E"/>
    <w:rsid w:val="00D840AD"/>
    <w:rsid w:val="00D8631A"/>
    <w:rsid w:val="00D87D39"/>
    <w:rsid w:val="00D91439"/>
    <w:rsid w:val="00D95DD5"/>
    <w:rsid w:val="00D96453"/>
    <w:rsid w:val="00DA5929"/>
    <w:rsid w:val="00DB2A32"/>
    <w:rsid w:val="00DB7090"/>
    <w:rsid w:val="00DC178D"/>
    <w:rsid w:val="00DD7F49"/>
    <w:rsid w:val="00DE6541"/>
    <w:rsid w:val="00DF75C3"/>
    <w:rsid w:val="00E07FAF"/>
    <w:rsid w:val="00E102EF"/>
    <w:rsid w:val="00E2191B"/>
    <w:rsid w:val="00E256B5"/>
    <w:rsid w:val="00E34E43"/>
    <w:rsid w:val="00E44A3D"/>
    <w:rsid w:val="00E46BB2"/>
    <w:rsid w:val="00E47D94"/>
    <w:rsid w:val="00E72B2A"/>
    <w:rsid w:val="00E80631"/>
    <w:rsid w:val="00E97C3A"/>
    <w:rsid w:val="00EA048A"/>
    <w:rsid w:val="00EA0C68"/>
    <w:rsid w:val="00EB3E30"/>
    <w:rsid w:val="00ED41B6"/>
    <w:rsid w:val="00ED4B93"/>
    <w:rsid w:val="00ED5608"/>
    <w:rsid w:val="00ED5C2E"/>
    <w:rsid w:val="00EE5597"/>
    <w:rsid w:val="00EF34BC"/>
    <w:rsid w:val="00F0401C"/>
    <w:rsid w:val="00F25AD9"/>
    <w:rsid w:val="00F34748"/>
    <w:rsid w:val="00F34A94"/>
    <w:rsid w:val="00F4488B"/>
    <w:rsid w:val="00F46ADD"/>
    <w:rsid w:val="00F50863"/>
    <w:rsid w:val="00F53037"/>
    <w:rsid w:val="00F576D3"/>
    <w:rsid w:val="00F57E12"/>
    <w:rsid w:val="00F648BE"/>
    <w:rsid w:val="00F662D1"/>
    <w:rsid w:val="00F702AE"/>
    <w:rsid w:val="00F75B96"/>
    <w:rsid w:val="00F833CA"/>
    <w:rsid w:val="00F84892"/>
    <w:rsid w:val="00F862A6"/>
    <w:rsid w:val="00F86925"/>
    <w:rsid w:val="00F870E1"/>
    <w:rsid w:val="00F87867"/>
    <w:rsid w:val="00F92A2C"/>
    <w:rsid w:val="00F93168"/>
    <w:rsid w:val="00F93395"/>
    <w:rsid w:val="00F94E39"/>
    <w:rsid w:val="00FC06D3"/>
    <w:rsid w:val="00FC22F4"/>
    <w:rsid w:val="00FD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3009158"/>
  <w15:docId w15:val="{45C26C1F-AFE9-4F8C-9660-8F35A8EE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657C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657C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65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0B1E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BBD"/>
    <w:rPr>
      <w:rFonts w:ascii="Tahoma" w:hAnsi="Tahoma" w:cs="Tahoma"/>
      <w:sz w:val="16"/>
      <w:szCs w:val="16"/>
    </w:rPr>
  </w:style>
  <w:style w:type="paragraph" w:customStyle="1" w:styleId="text">
    <w:name w:val="*text"/>
    <w:basedOn w:val="Normln"/>
    <w:link w:val="textChar"/>
    <w:qFormat/>
    <w:rsid w:val="002142A6"/>
    <w:pPr>
      <w:spacing w:after="160" w:line="259" w:lineRule="auto"/>
      <w:jc w:val="both"/>
    </w:pPr>
  </w:style>
  <w:style w:type="character" w:customStyle="1" w:styleId="textChar">
    <w:name w:val="*text Char"/>
    <w:basedOn w:val="Standardnpsmoodstavce"/>
    <w:link w:val="text"/>
    <w:rsid w:val="002142A6"/>
  </w:style>
  <w:style w:type="character" w:customStyle="1" w:styleId="Nadpis1Char">
    <w:name w:val="Nadpis 1 Char"/>
    <w:basedOn w:val="Standardnpsmoodstavce"/>
    <w:link w:val="Nadpis1"/>
    <w:uiPriority w:val="9"/>
    <w:rsid w:val="0004657C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4657C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7C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paragraph" w:customStyle="1" w:styleId="Default">
    <w:name w:val="Default"/>
    <w:rsid w:val="0004657C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65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657C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table" w:styleId="Svtlseznam">
    <w:name w:val="Light List"/>
    <w:basedOn w:val="Normlntabulka"/>
    <w:uiPriority w:val="61"/>
    <w:rsid w:val="0004657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Odkaznakoment">
    <w:name w:val="annotation reference"/>
    <w:basedOn w:val="Standardnpsmoodstavce"/>
    <w:uiPriority w:val="99"/>
    <w:unhideWhenUsed/>
    <w:rsid w:val="00AA1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19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19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B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5D3"/>
  </w:style>
  <w:style w:type="paragraph" w:styleId="Zpat">
    <w:name w:val="footer"/>
    <w:basedOn w:val="Normln"/>
    <w:link w:val="ZpatChar"/>
    <w:uiPriority w:val="99"/>
    <w:unhideWhenUsed/>
    <w:rsid w:val="00C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5D3"/>
  </w:style>
  <w:style w:type="character" w:styleId="slostrnky">
    <w:name w:val="page number"/>
    <w:basedOn w:val="Standardnpsmoodstavce"/>
    <w:uiPriority w:val="99"/>
    <w:rsid w:val="00C835D3"/>
    <w:rPr>
      <w:rFonts w:cs="Times New Roman"/>
    </w:rPr>
  </w:style>
  <w:style w:type="paragraph" w:customStyle="1" w:styleId="Zkladnodstavec">
    <w:name w:val="[Základní odstavec]"/>
    <w:basedOn w:val="Normln"/>
    <w:uiPriority w:val="99"/>
    <w:rsid w:val="00C835D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Revize">
    <w:name w:val="Revision"/>
    <w:hidden/>
    <w:uiPriority w:val="99"/>
    <w:semiHidden/>
    <w:rsid w:val="00A37A03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A43B61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1533"/>
    <w:pPr>
      <w:keepNext/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b/>
      <w:bCs/>
      <w:caps w:val="0"/>
      <w:color w:val="365F91" w:themeColor="accent1" w:themeShade="BF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153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153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1533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C81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F49B-3A93-4B3F-B0DE-BF76E73E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31</Pages>
  <Words>6553</Words>
  <Characters>38663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Heřmánek</dc:creator>
  <cp:lastModifiedBy>Habová Soňa</cp:lastModifiedBy>
  <cp:revision>60</cp:revision>
  <cp:lastPrinted>2016-08-30T06:26:00Z</cp:lastPrinted>
  <dcterms:created xsi:type="dcterms:W3CDTF">2016-07-24T23:07:00Z</dcterms:created>
  <dcterms:modified xsi:type="dcterms:W3CDTF">2019-10-07T08:43:00Z</dcterms:modified>
</cp:coreProperties>
</file>